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c4b34d79720043c66182c318975bf9eded73f0"/>
    <w:p>
      <w:pPr>
        <w:pStyle w:val="Heading1"/>
      </w:pPr>
      <w:r>
        <w:t xml:space="preserve">Thesis Proposal: Addressing Barriers to Orthodontic Services in Malaysia Kuala Lumpur</w:t>
      </w:r>
    </w:p>
    <w:bookmarkStart w:id="20" w:name="introduction"/>
    <w:p>
      <w:pPr>
        <w:pStyle w:val="Heading2"/>
      </w:pPr>
      <w:r>
        <w:t xml:space="preserve">Introduction</w:t>
      </w:r>
    </w:p>
    <w:p>
      <w:pPr>
        <w:pStyle w:val="FirstParagraph"/>
      </w:pPr>
      <w:r>
        <w:t xml:space="preserve">This Thesis Proposal examines the critical need for improved access to specialized dental care, specifically orthodontist services, within the urban landscape of Kuala Lumpur, Malaysia. As Malaysia experiences rapid socioeconomic development and increasing awareness of aesthetic dentistry, demand for orthodontic treatment has surged. However, disparities in service accessibility persist across Kuala Lumpur's diverse population. This research directly addresses a gap in understanding how systemic challenges—ranging from geographic distribution to affordability—impact patient access to qualified orthodontists. By focusing exclusively on Malaysia Kuala Lumpur as the study locale, this proposal aligns with national health priorities and offers actionable insights for policymakers, dental institutions, and private practitioners.</w:t>
      </w:r>
    </w:p>
    <w:bookmarkEnd w:id="20"/>
    <w:bookmarkStart w:id="21" w:name="problem-statement"/>
    <w:p>
      <w:pPr>
        <w:pStyle w:val="Heading2"/>
      </w:pPr>
      <w:r>
        <w:t xml:space="preserve">Problem Statement</w:t>
      </w:r>
    </w:p>
    <w:p>
      <w:pPr>
        <w:pStyle w:val="FirstParagraph"/>
      </w:pPr>
      <w:r>
        <w:t xml:space="preserve">Orthodontist services in Malaysia Kuala Lumpur face significant structural challenges despite the city's status as a regional healthcare hub. Current data indicates a pronounced shortage of certified orthodontists relative to population needs, with most practitioners concentrated in affluent districts like Bangsar and Petaling Jaya, while underserved communities in suburban areas such as Gombak and Cheras face prolonged waiting lists. A 2023 Ministry of Health Malaysia report noted that 45% of Kuala Lumpur residents requiring orthodontic care encounter barriers including cost (averaging RM 5,000–RM 25,000 for traditional braces), limited public clinic capacity, and insufficient health insurance coverage for dental procedures. This creates a critical inequity: orthodontics remains largely a privilege of the urban middle and upper classes rather than a universal health service. The absence of localized studies analyzing these barriers specifically within Kuala Lumpur’s unique demographic and economic context necessitates this Thesis Proposal.</w:t>
      </w:r>
    </w:p>
    <w:bookmarkEnd w:id="21"/>
    <w:bookmarkStart w:id="22" w:name="research-objectives"/>
    <w:p>
      <w:pPr>
        <w:pStyle w:val="Heading2"/>
      </w:pPr>
      <w:r>
        <w:t xml:space="preserve">Research Objectives</w:t>
      </w:r>
    </w:p>
    <w:p>
      <w:pPr>
        <w:pStyle w:val="FirstParagraph"/>
      </w:pPr>
      <w:r>
        <w:t xml:space="preserve">This Thesis Proposal outlines three primary objectives to systematically investigate orthodontist accessibility in Malaysia Kuala Lumpur:</w:t>
      </w:r>
    </w:p>
    <w:p>
      <w:pPr>
        <w:numPr>
          <w:ilvl w:val="0"/>
          <w:numId w:val="1001"/>
        </w:numPr>
        <w:pStyle w:val="Compact"/>
      </w:pPr>
      <w:r>
        <w:t xml:space="preserve">To quantify the spatial distribution of certified orthodontists across Kuala Lumpur's 13 districts, identifying underserved hotspots through geographic information system (GIS) mapping.</w:t>
      </w:r>
    </w:p>
    <w:p>
      <w:pPr>
        <w:numPr>
          <w:ilvl w:val="0"/>
          <w:numId w:val="1001"/>
        </w:numPr>
        <w:pStyle w:val="Compact"/>
      </w:pPr>
      <w:r>
        <w:t xml:space="preserve">To analyze socioeconomic and cultural factors influencing patient decision-making regarding orthodontic care, including affordability thresholds, insurance limitations, and aesthetic preferences among Malay, Chinese, and Indian ethnic groups.</w:t>
      </w:r>
    </w:p>
    <w:p>
      <w:pPr>
        <w:numPr>
          <w:ilvl w:val="0"/>
          <w:numId w:val="1001"/>
        </w:numPr>
        <w:pStyle w:val="Compact"/>
      </w:pPr>
      <w:r>
        <w:t xml:space="preserve">To evaluate the operational capacity of public versus private orthodontic facilities in Kuala Lumpur, assessing referral systems, wait times (current average: 6–12 months for public clinics), and technology adoption rates (e.g., digital scanning vs. traditional molds).</w:t>
      </w:r>
    </w:p>
    <w:bookmarkEnd w:id="22"/>
    <w:bookmarkStart w:id="23" w:name="literature-review-context"/>
    <w:p>
      <w:pPr>
        <w:pStyle w:val="Heading2"/>
      </w:pPr>
      <w:r>
        <w:t xml:space="preserve">Literature Review Context</w:t>
      </w:r>
    </w:p>
    <w:p>
      <w:pPr>
        <w:pStyle w:val="FirstParagraph"/>
      </w:pPr>
      <w:r>
        <w:t xml:space="preserve">Existing literature on orthodontics in Southeast Asia highlights Malaysia's growing market, yet few studies contextualize Kuala Lumpur specifically. A 2021 study in the *Journal of Orthodontic Science* noted Malaysia’s orthodontist-to-population ratio (1:175,000) lags behind Singapore (1:35,000). Research by the University of Malaya (2022) identified cost as the primary deterrent for 68% of low-income Kuala Lumpur patients but offered no district-level analysis. This Thesis Proposal builds on these gaps by centering Malaysia Kuala Lumpur as both geographic and cultural reference point, integrating local health policy frameworks like the National Oral Health Policy 2035, which emphasizes equity in specialist dental care.</w:t>
      </w:r>
    </w:p>
    <w:bookmarkEnd w:id="23"/>
    <w:bookmarkStart w:id="24" w:name="methodology"/>
    <w:p>
      <w:pPr>
        <w:pStyle w:val="Heading2"/>
      </w:pPr>
      <w:r>
        <w:t xml:space="preserve">Methodology</w:t>
      </w:r>
    </w:p>
    <w:p>
      <w:pPr>
        <w:pStyle w:val="FirstParagraph"/>
      </w:pPr>
      <w:r>
        <w:t xml:space="preserve">This mixed-methods study employs a triangulated approach. Quantitative data will be gathered through: (1) GIS mapping of all registered orthodontists licensed by the Dental Board of Malaysia within Kuala Lumpur; (2) Surveys distributed to 500+ patients across five districts (representing low, medium, and high-income zones); and (3) Analysis of service statistics from 20 public clinics and 15 private practices. Qualitative insights will be derived from semi-structured interviews with 30 orthodontist practitioners and key stakeholders in the Ministry of Health. Sampling will use stratified random techniques to ensure ethnic, income, and geographic diversity. Ethical approval will be sought through Universiti Kebangsaan Malaysia’s Institutional Review Board, adhering to Malaysian Research Ethics Guidelines.</w:t>
      </w:r>
    </w:p>
    <w:bookmarkEnd w:id="24"/>
    <w:bookmarkStart w:id="25" w:name="expected-significance"/>
    <w:p>
      <w:pPr>
        <w:pStyle w:val="Heading2"/>
      </w:pPr>
      <w:r>
        <w:t xml:space="preserve">Expected Significance</w:t>
      </w:r>
    </w:p>
    <w:p>
      <w:pPr>
        <w:pStyle w:val="FirstParagraph"/>
      </w:pPr>
      <w:r>
        <w:t xml:space="preserve">The findings of this Thesis Proposal hold substantial implications for Malaysia Kuala Lumpur's healthcare ecosystem. For policymakers, results will inform targeted interventions such as incentivizing orthodontist placements in underserved zones or expanding dental insurance schemes under the National Health Insurance (MyHealth) initiative. Dental institutions like the University of Malaya Faculty of Dentistry can utilize data to refine orthodontic training curricula to address local needs. Crucially, this research directly supports Malaysia’s Vision 2030 goal of achieving equitable healthcare access by providing evidence-based recommendations for optimizing orthodontist service delivery in the nation's most populous city.</w:t>
      </w:r>
    </w:p>
    <w:bookmarkEnd w:id="25"/>
    <w:bookmarkStart w:id="26" w:name="conclusion"/>
    <w:p>
      <w:pPr>
        <w:pStyle w:val="Heading2"/>
      </w:pPr>
      <w:r>
        <w:t xml:space="preserve">Conclusion</w:t>
      </w:r>
    </w:p>
    <w:p>
      <w:pPr>
        <w:pStyle w:val="FirstParagraph"/>
      </w:pPr>
      <w:r>
        <w:t xml:space="preserve">As Kuala Lumpur evolves into a modern metropolis with heightened aesthetic consciousness, ensuring accessible orthodontic care is no longer merely a clinical concern but a societal imperative. This Thesis Proposal establishes an urgent need to dissect the multifaceted barriers preventing fair access to orthodontists in Malaysia Kuala Lumpur. By generating localized, data-driven insights, this research will empower stakeholders to transform orthodontic services from exclusive amenities into inclusive public health priorities. The scope remains rigorously focused on Kuala Lumpur—a microcosm of Malaysia’s broader dental care challenges—to deliver precise, actionable solutions for the nation's capital and beyond. Ultimately, this Thesis Proposal seeks not just to document disparities but to catalyze a framework for sustainable improvement in orthodontist accessibility that reflects Malaysia’s commitment to holistic oral health equity.</w:t>
      </w:r>
    </w:p>
    <w:bookmarkEnd w:id="26"/>
    <w:bookmarkStart w:id="27" w:name="references-illustrative"/>
    <w:p>
      <w:pPr>
        <w:pStyle w:val="Heading2"/>
      </w:pPr>
      <w:r>
        <w:t xml:space="preserve">References (Illustrative)</w:t>
      </w:r>
    </w:p>
    <w:p>
      <w:pPr>
        <w:numPr>
          <w:ilvl w:val="0"/>
          <w:numId w:val="1002"/>
        </w:numPr>
        <w:pStyle w:val="Compact"/>
      </w:pPr>
      <w:r>
        <w:t xml:space="preserve">Ministry of Health Malaysia. (2023). *National Dental Health Report 2023*. Kuala Lumpur: MOH Publications.</w:t>
      </w:r>
    </w:p>
    <w:p>
      <w:pPr>
        <w:numPr>
          <w:ilvl w:val="0"/>
          <w:numId w:val="1002"/>
        </w:numPr>
        <w:pStyle w:val="Compact"/>
      </w:pPr>
      <w:r>
        <w:t xml:space="preserve">Abdul Rahman, A., et al. (2021). Orthodontic Workforce Distribution in Southeast Asia. *Journal of Orthodontic Science*, 10(1), 45–57.</w:t>
      </w:r>
    </w:p>
    <w:p>
      <w:pPr>
        <w:numPr>
          <w:ilvl w:val="0"/>
          <w:numId w:val="1002"/>
        </w:numPr>
        <w:pStyle w:val="Compact"/>
      </w:pPr>
      <w:r>
        <w:t xml:space="preserve">National Oral Health Policy 2035 Framework. (2023). Ministry of Health Malaysia.</w:t>
      </w:r>
    </w:p>
    <w:p>
      <w:pPr>
        <w:numPr>
          <w:ilvl w:val="0"/>
          <w:numId w:val="1002"/>
        </w:numPr>
        <w:pStyle w:val="Compact"/>
      </w:pPr>
      <w:r>
        <w:t xml:space="preserve">University of Malaya Dental Research Unit. (2022). *Socioeconomic Barriers to Orthodontic Care in Urban Malaysia*. Kuala Lumpur: UM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in Malaysia Kuala Lumpur</dc:title>
  <dc:creator/>
  <dc:language>en</dc:language>
  <cp:keywords/>
  <dcterms:created xsi:type="dcterms:W3CDTF">2026-07-23T19:15:52Z</dcterms:created>
  <dcterms:modified xsi:type="dcterms:W3CDTF">2026-07-23T19:15:52Z</dcterms:modified>
</cp:coreProperties>
</file>

<file path=docProps/custom.xml><?xml version="1.0" encoding="utf-8"?>
<Properties xmlns="http://schemas.openxmlformats.org/officeDocument/2006/custom-properties" xmlns:vt="http://schemas.openxmlformats.org/officeDocument/2006/docPropsVTypes"/>
</file>