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4ebed195982478d65832f0c8bb9c7be1a8785d8"/>
    <w:p>
      <w:pPr>
        <w:pStyle w:val="Heading1"/>
      </w:pPr>
      <w:r>
        <w:t xml:space="preserve">Thesis Proposal: Improving Orthodontic Care Accessibility and Quality for Adolescents in Manila, Philippines</w:t>
      </w:r>
    </w:p>
    <w:bookmarkStart w:id="20" w:name="i.-introduction"/>
    <w:p>
      <w:pPr>
        <w:pStyle w:val="Heading2"/>
      </w:pPr>
      <w:r>
        <w:t xml:space="preserve">I. Introduction</w:t>
      </w:r>
    </w:p>
    <w:p>
      <w:pPr>
        <w:pStyle w:val="FirstParagraph"/>
      </w:pPr>
      <w:r>
        <w:t xml:space="preserve">The field of orthodontics has evolved significantly worldwide as a critical specialty addressing malocclusion, facial aesthetics, and oral functionality. However, in the Philippines—particularly within densely populated urban centers like Manila—the accessibility of specialized orthodontic services remains severely constrained. With over 13 million residents in Metro Manila alone, adolescents face prolonged waiting times (often exceeding 2 years), exorbitant treatment costs (ranging from ₱50,000 to ₱250,000), and a critical shortage of certified orthodontists. According to the Philippine Dental Association (PDA) 2023 report, Manila has only 1.7 orthodontists per 1 million residents—far below the WHO-recommended ratio of 5 per million for dental specialties. This gap perpetuates untreated malocclusion, contributing to oral health disparities that affect academic performance, self-esteem, and long-term systemic health. This</w:t>
      </w:r>
      <w:r>
        <w:t xml:space="preserve"> </w:t>
      </w:r>
      <w:r>
        <w:rPr>
          <w:iCs/>
          <w:i/>
        </w:rPr>
        <w:t xml:space="preserve">Thesis Proposal</w:t>
      </w:r>
      <w:r>
        <w:t xml:space="preserve"> </w:t>
      </w:r>
      <w:r>
        <w:t xml:space="preserve">therefore addresses a pressing public health need: developing a scalable framework to enhance orthodontic care delivery within Manila's unique socio-economic and geographical context.</w:t>
      </w:r>
    </w:p>
    <w:bookmarkEnd w:id="20"/>
    <w:bookmarkStart w:id="21" w:name="ii.-statement-of-the-problem"/>
    <w:p>
      <w:pPr>
        <w:pStyle w:val="Heading2"/>
      </w:pPr>
      <w:r>
        <w:t xml:space="preserve">II. Statement of the Problem</w:t>
      </w:r>
    </w:p>
    <w:p>
      <w:pPr>
        <w:pStyle w:val="FirstParagraph"/>
      </w:pPr>
      <w:r>
        <w:t xml:space="preserve">Despite rising demand for orthodontic services in Manila, systemic barriers prevent equitable access. Key challenges include:</w:t>
      </w:r>
    </w:p>
    <w:p>
      <w:pPr>
        <w:numPr>
          <w:ilvl w:val="0"/>
          <w:numId w:val="1001"/>
        </w:numPr>
        <w:pStyle w:val="Compact"/>
      </w:pPr>
      <w:r>
        <w:rPr>
          <w:bCs/>
          <w:b/>
        </w:rPr>
        <w:t xml:space="preserve">Economic Constraints:</w:t>
      </w:r>
      <w:r>
        <w:t xml:space="preserve"> </w:t>
      </w:r>
      <w:r>
        <w:t xml:space="preserve">85% of low-to-middle-income families cannot afford treatment without loans or installment plans (PDA, 2022), leading to delayed care or abandonment of treatment.</w:t>
      </w:r>
    </w:p>
    <w:p>
      <w:pPr>
        <w:numPr>
          <w:ilvl w:val="0"/>
          <w:numId w:val="1001"/>
        </w:numPr>
        <w:pStyle w:val="Compact"/>
      </w:pPr>
      <w:r>
        <w:rPr>
          <w:bCs/>
          <w:b/>
        </w:rPr>
        <w:t xml:space="preserve">Spatial Inequity:</w:t>
      </w:r>
      <w:r>
        <w:t xml:space="preserve"> </w:t>
      </w:r>
      <w:r>
        <w:t xml:space="preserve">Orthodontic clinics are concentrated in affluent districts (e.g., Makati, Bonifacio Global City), leaving Quezon City and Caloocan residents with limited options despite higher adolescent populations.</w:t>
      </w:r>
    </w:p>
    <w:p>
      <w:pPr>
        <w:numPr>
          <w:ilvl w:val="0"/>
          <w:numId w:val="1001"/>
        </w:numPr>
        <w:pStyle w:val="Compact"/>
      </w:pPr>
      <w:r>
        <w:rPr>
          <w:bCs/>
          <w:b/>
        </w:rPr>
        <w:t xml:space="preserve">Professional Shortage:</w:t>
      </w:r>
      <w:r>
        <w:t xml:space="preserve"> </w:t>
      </w:r>
      <w:r>
        <w:t xml:space="preserve">The Philippines has only 375 certified orthodontists nationwide, with 68% practicing in Metro Manila (PDA, 2023). The current pipeline (15 new orthodontists annually) cannot meet the projected 40% demand growth by 2030.</w:t>
      </w:r>
    </w:p>
    <w:p>
      <w:pPr>
        <w:numPr>
          <w:ilvl w:val="0"/>
          <w:numId w:val="1001"/>
        </w:numPr>
        <w:pStyle w:val="Compact"/>
      </w:pPr>
      <w:r>
        <w:rPr>
          <w:bCs/>
          <w:b/>
        </w:rPr>
        <w:t xml:space="preserve">Awareness Gaps:</w:t>
      </w:r>
      <w:r>
        <w:t xml:space="preserve"> </w:t>
      </w:r>
      <w:r>
        <w:t xml:space="preserve">A recent survey revealed 62% of parents in Manila's public schools were unaware that malocclusion impacts speech development and nutrition (DOH, 2023).</w:t>
      </w:r>
    </w:p>
    <w:bookmarkEnd w:id="21"/>
    <w:bookmarkStart w:id="22" w:name="iii.-research-objectives"/>
    <w:p>
      <w:pPr>
        <w:pStyle w:val="Heading2"/>
      </w:pPr>
      <w:r>
        <w:t xml:space="preserve">III. Research Objectives</w:t>
      </w:r>
    </w:p>
    <w:p>
      <w:pPr>
        <w:numPr>
          <w:ilvl w:val="0"/>
          <w:numId w:val="1002"/>
        </w:numPr>
        <w:pStyle w:val="Compact"/>
      </w:pPr>
      <w:r>
        <w:rPr>
          <w:bCs/>
          <w:b/>
        </w:rPr>
        <w:t xml:space="preserve">Primary:</w:t>
      </w:r>
      <w:r>
        <w:t xml:space="preserve"> </w:t>
      </w:r>
      <w:r>
        <w:t xml:space="preserve">To design an evidence-based model for expanding orthodontic service delivery in Manila, integrating public-private partnerships and telehealth innovations.</w:t>
      </w:r>
    </w:p>
    <w:p>
      <w:pPr>
        <w:numPr>
          <w:ilvl w:val="0"/>
          <w:numId w:val="1002"/>
        </w:numPr>
        <w:pStyle w:val="Compact"/>
      </w:pPr>
      <w:r>
        <w:rPr>
          <w:bCs/>
          <w:b/>
        </w:rPr>
        <w:t xml:space="preserve">Specific:</w:t>
      </w:r>
    </w:p>
    <w:p>
      <w:pPr>
        <w:numPr>
          <w:ilvl w:val="1"/>
          <w:numId w:val="1003"/>
        </w:numPr>
        <w:pStyle w:val="Compact"/>
      </w:pPr>
      <w:r>
        <w:t xml:space="preserve">Evaluate current distribution patterns of orthodontists across Manila's 16 cities using GIS mapping.</w:t>
      </w:r>
    </w:p>
    <w:p>
      <w:pPr>
        <w:numPr>
          <w:ilvl w:val="1"/>
          <w:numId w:val="1003"/>
        </w:numPr>
        <w:pStyle w:val="Compact"/>
      </w:pPr>
      <w:r>
        <w:t xml:space="preserve">Identify socioeconomic barriers through quantitative surveys with 500 adolescents and parents in public schools.</w:t>
      </w:r>
    </w:p>
    <w:p>
      <w:pPr>
        <w:numPr>
          <w:ilvl w:val="1"/>
          <w:numId w:val="1003"/>
        </w:numPr>
        <w:pStyle w:val="Compact"/>
      </w:pPr>
      <w:r>
        <w:t xml:space="preserve">Assess feasibility of mobile orthodontic units (MOUs) for underserved communities using cost-benefit analysis.</w:t>
      </w:r>
    </w:p>
    <w:p>
      <w:pPr>
        <w:numPr>
          <w:ilvl w:val="1"/>
          <w:numId w:val="1003"/>
        </w:numPr>
        <w:pStyle w:val="Compact"/>
      </w:pPr>
      <w:r>
        <w:t xml:space="preserve">Develop a policy framework for the Department of Health (DOH) to incentivize orthodontist deployment in priority districts.</w:t>
      </w:r>
    </w:p>
    <w:bookmarkEnd w:id="22"/>
    <w:bookmarkStart w:id="23" w:name="iv.-significance-of-the-study"/>
    <w:p>
      <w:pPr>
        <w:pStyle w:val="Heading2"/>
      </w:pPr>
      <w:r>
        <w:t xml:space="preserve">IV. Significance of the Study</w:t>
      </w:r>
    </w:p>
    <w:p>
      <w:pPr>
        <w:pStyle w:val="FirstParagraph"/>
      </w:pPr>
      <w:r>
        <w:t xml:space="preserve">This research directly addresses the Philippine government's National Oral Health Program goals under Executive Order No. 107, which prioritizes specialty care access for vulnerable youth. The findings will benefit:</w:t>
      </w:r>
    </w:p>
    <w:p>
      <w:pPr>
        <w:numPr>
          <w:ilvl w:val="0"/>
          <w:numId w:val="1004"/>
        </w:numPr>
        <w:pStyle w:val="Compact"/>
      </w:pPr>
      <w:r>
        <w:rPr>
          <w:bCs/>
          <w:b/>
        </w:rPr>
        <w:t xml:space="preserve">Orthodontists:</w:t>
      </w:r>
      <w:r>
        <w:t xml:space="preserve"> </w:t>
      </w:r>
      <w:r>
        <w:t xml:space="preserve">Provide data-driven strategies to optimize practice locations and patient management.</w:t>
      </w:r>
    </w:p>
    <w:p>
      <w:pPr>
        <w:numPr>
          <w:ilvl w:val="0"/>
          <w:numId w:val="1004"/>
        </w:numPr>
        <w:pStyle w:val="Compact"/>
      </w:pPr>
      <w:r>
        <w:rPr>
          <w:bCs/>
          <w:b/>
        </w:rPr>
        <w:t xml:space="preserve">Government Agencies:</w:t>
      </w:r>
      <w:r>
        <w:t xml:space="preserve"> </w:t>
      </w:r>
      <w:r>
        <w:t xml:space="preserve">Inform DOH budget allocation for dental specialist training and MOU implementation.</w:t>
      </w:r>
    </w:p>
    <w:p>
      <w:pPr>
        <w:numPr>
          <w:ilvl w:val="0"/>
          <w:numId w:val="1004"/>
        </w:numPr>
        <w:pStyle w:val="Compact"/>
      </w:pPr>
      <w:r>
        <w:rPr>
          <w:bCs/>
          <w:b/>
        </w:rPr>
        <w:t xml:space="preserve">Communities:</w:t>
      </w:r>
      <w:r>
        <w:t xml:space="preserve"> </w:t>
      </w:r>
      <w:r>
        <w:t xml:space="preserve">Reduce oral health disparities by targeting 200,000 adolescents in Manila by 2035 through evidence-based interventions.</w:t>
      </w:r>
    </w:p>
    <w:p>
      <w:pPr>
        <w:numPr>
          <w:ilvl w:val="0"/>
          <w:numId w:val="1004"/>
        </w:numPr>
        <w:pStyle w:val="Compact"/>
      </w:pPr>
      <w:r>
        <w:rPr>
          <w:bCs/>
          <w:b/>
        </w:rPr>
        <w:t xml:space="preserve">Educational Institutions:</w:t>
      </w:r>
      <w:r>
        <w:t xml:space="preserve"> </w:t>
      </w:r>
      <w:r>
        <w:t xml:space="preserve">Enable dental schools (e.g., University of the Philippines College of Medicine) to revise curricula focusing on urban health needs.</w:t>
      </w:r>
    </w:p>
    <w:bookmarkEnd w:id="23"/>
    <w:bookmarkStart w:id="24" w:name="v.-scope-and-limitations"/>
    <w:p>
      <w:pPr>
        <w:pStyle w:val="Heading2"/>
      </w:pPr>
      <w:r>
        <w:t xml:space="preserve">V. Scope and Limitations</w:t>
      </w:r>
    </w:p>
    <w:p>
      <w:pPr>
        <w:pStyle w:val="FirstParagraph"/>
      </w:pPr>
      <w:r>
        <w:t xml:space="preserve">This study focuses exclusively on Manila's adolescent population (ages 12–18) in public and private educational settings. It will:</w:t>
      </w:r>
    </w:p>
    <w:p>
      <w:pPr>
        <w:numPr>
          <w:ilvl w:val="0"/>
          <w:numId w:val="1005"/>
        </w:numPr>
        <w:pStyle w:val="Compact"/>
      </w:pPr>
      <w:r>
        <w:t xml:space="preserve">Scope: Analyze existing orthodontic infrastructure across all 16 Manila cities; collect data from 30 public schools and 20 clinics.</w:t>
      </w:r>
    </w:p>
    <w:p>
      <w:pPr>
        <w:numPr>
          <w:ilvl w:val="0"/>
          <w:numId w:val="1005"/>
        </w:numPr>
        <w:pStyle w:val="Compact"/>
      </w:pPr>
      <w:r>
        <w:t xml:space="preserve">Limitations: Excludes rural provinces (to maintain focus on urban complexity); does not cover adult orthodontics due to distinct service patterns.</w:t>
      </w:r>
    </w:p>
    <w:bookmarkEnd w:id="24"/>
    <w:bookmarkStart w:id="25" w:name="vi.-review-of-related-literature"/>
    <w:p>
      <w:pPr>
        <w:pStyle w:val="Heading2"/>
      </w:pPr>
      <w:r>
        <w:t xml:space="preserve">VI. Review of Related Literature</w:t>
      </w:r>
    </w:p>
    <w:p>
      <w:pPr>
        <w:pStyle w:val="FirstParagraph"/>
      </w:pPr>
      <w:r>
        <w:t xml:space="preserve">Global studies demonstrate that integrated models—such as Thailand's "Dental Mobile Units" (reducing wait times by 70%) and India's "Oral Health Insurance" schemes—significantly improve specialty access in high-density urban areas. However, these models require adaptation to the Philippines' context. Local research by Dr. Santos (2021) highlights Manila’s unique challenges: unregulated private clinics offering substandard care and cultural perceptions equating orthodontics with "luxury services." Conversely, a 2020 DOH pilot in Cebu showed that combining school screenings with government-subsidized orthodontist referrals increased service uptake by 45%. This</w:t>
      </w:r>
      <w:r>
        <w:t xml:space="preserve"> </w:t>
      </w:r>
      <w:r>
        <w:rPr>
          <w:iCs/>
          <w:i/>
        </w:rPr>
        <w:t xml:space="preserve">Thesis Proposal</w:t>
      </w:r>
      <w:r>
        <w:t xml:space="preserve"> </w:t>
      </w:r>
      <w:r>
        <w:t xml:space="preserve">bridges these insights by proposing Manila-specific solutions, including:</w:t>
      </w:r>
    </w:p>
    <w:p>
      <w:pPr>
        <w:numPr>
          <w:ilvl w:val="0"/>
          <w:numId w:val="1006"/>
        </w:numPr>
        <w:pStyle w:val="Compact"/>
      </w:pPr>
      <w:r>
        <w:rPr>
          <w:bCs/>
          <w:b/>
        </w:rPr>
        <w:t xml:space="preserve">Tele-Orthodontic Triage:</w:t>
      </w:r>
      <w:r>
        <w:t xml:space="preserve"> </w:t>
      </w:r>
      <w:r>
        <w:t xml:space="preserve">Using mobile apps for initial consultations to prioritize cases.</w:t>
      </w:r>
    </w:p>
    <w:p>
      <w:pPr>
        <w:numPr>
          <w:ilvl w:val="0"/>
          <w:numId w:val="1006"/>
        </w:numPr>
        <w:pStyle w:val="Compact"/>
      </w:pPr>
      <w:r>
        <w:rPr>
          <w:bCs/>
          <w:b/>
        </w:rPr>
        <w:t xml:space="preserve">Clinic-Coordinated Training:</w:t>
      </w:r>
      <w:r>
        <w:t xml:space="preserve"> </w:t>
      </w:r>
      <w:r>
        <w:t xml:space="preserve">Partnering with private orthodontists to mentor dental students at public clinics.</w:t>
      </w:r>
    </w:p>
    <w:p>
      <w:pPr>
        <w:numPr>
          <w:ilvl w:val="0"/>
          <w:numId w:val="1006"/>
        </w:numPr>
        <w:pStyle w:val="Compact"/>
      </w:pPr>
      <w:r>
        <w:rPr>
          <w:bCs/>
          <w:b/>
        </w:rPr>
        <w:t xml:space="preserve">School-Based Screening Programs:</w:t>
      </w:r>
      <w:r>
        <w:t xml:space="preserve"> </w:t>
      </w:r>
      <w:r>
        <w:t xml:space="preserve">Integrating oral health assessments into the DepEd curriculum.</w:t>
      </w:r>
    </w:p>
    <w:bookmarkEnd w:id="25"/>
    <w:bookmarkStart w:id="26" w:name="vii.-methodology"/>
    <w:p>
      <w:pPr>
        <w:pStyle w:val="Heading2"/>
      </w:pPr>
      <w:r>
        <w:t xml:space="preserve">VII. Methodology</w:t>
      </w:r>
    </w:p>
    <w:p>
      <w:pPr>
        <w:pStyle w:val="FirstParagraph"/>
      </w:pPr>
      <w:r>
        <w:t xml:space="preserve">A mixed-methods approach will be employed:</w:t>
      </w:r>
    </w:p>
    <w:p>
      <w:pPr>
        <w:numPr>
          <w:ilvl w:val="0"/>
          <w:numId w:val="1007"/>
        </w:numPr>
        <w:pStyle w:val="Compact"/>
      </w:pPr>
      <w:r>
        <w:rPr>
          <w:bCs/>
          <w:b/>
        </w:rPr>
        <w:t xml:space="preserve">Phase 1 (Quantitative):</w:t>
      </w:r>
      <w:r>
        <w:t xml:space="preserve"> </w:t>
      </w:r>
      <w:r>
        <w:t xml:space="preserve">Survey of 500 adolescents from public schools (stratified by district) using validated WHO oral health questionnaires, measuring awareness, barriers, and treatment need.</w:t>
      </w:r>
    </w:p>
    <w:p>
      <w:pPr>
        <w:numPr>
          <w:ilvl w:val="0"/>
          <w:numId w:val="1007"/>
        </w:numPr>
        <w:pStyle w:val="Compact"/>
      </w:pPr>
      <w:r>
        <w:rPr>
          <w:bCs/>
          <w:b/>
        </w:rPr>
        <w:t xml:space="preserve">Phase 2 (Qualitative):</w:t>
      </w:r>
      <w:r>
        <w:t xml:space="preserve"> </w:t>
      </w:r>
      <w:r>
        <w:t xml:space="preserve">Focus groups with 30 orthodontists and key stakeholders (DOH officials, school administrators) to identify systemic bottlenecks.</w:t>
      </w:r>
    </w:p>
    <w:p>
      <w:pPr>
        <w:numPr>
          <w:ilvl w:val="0"/>
          <w:numId w:val="1007"/>
        </w:numPr>
        <w:pStyle w:val="Compact"/>
      </w:pPr>
      <w:r>
        <w:rPr>
          <w:bCs/>
          <w:b/>
        </w:rPr>
        <w:t xml:space="preserve">Phase 3 (Model Development):</w:t>
      </w:r>
      <w:r>
        <w:t xml:space="preserve"> </w:t>
      </w:r>
      <w:r>
        <w:t xml:space="preserve">GIS mapping of clinic locations vs. population density; cost simulations for MOU deployment in Quezon City and Parañaque.</w:t>
      </w:r>
    </w:p>
    <w:p>
      <w:pPr>
        <w:numPr>
          <w:ilvl w:val="0"/>
          <w:numId w:val="1007"/>
        </w:numPr>
        <w:pStyle w:val="Compact"/>
      </w:pPr>
      <w:r>
        <w:rPr>
          <w:bCs/>
          <w:b/>
        </w:rPr>
        <w:t xml:space="preserve">Data Analysis:</w:t>
      </w:r>
      <w:r>
        <w:t xml:space="preserve"> </w:t>
      </w:r>
      <w:r>
        <w:t xml:space="preserve">SPSS for statistical analysis of survey data; thematic coding for interview transcripts.</w:t>
      </w:r>
    </w:p>
    <w:bookmarkEnd w:id="26"/>
    <w:bookmarkStart w:id="27" w:name="viii.-expected-outcomes-and-contribution"/>
    <w:p>
      <w:pPr>
        <w:pStyle w:val="Heading2"/>
      </w:pPr>
      <w:r>
        <w:t xml:space="preserve">VIII. Expected Outcomes and Contribution</w:t>
      </w:r>
    </w:p>
    <w:p>
      <w:pPr>
        <w:pStyle w:val="FirstParagraph"/>
      </w:pPr>
      <w:r>
        <w:t xml:space="preserve">This study will produce:</w:t>
      </w:r>
    </w:p>
    <w:p>
      <w:pPr>
        <w:numPr>
          <w:ilvl w:val="0"/>
          <w:numId w:val="1008"/>
        </w:numPr>
        <w:pStyle w:val="Compact"/>
      </w:pPr>
      <w:r>
        <w:t xml:space="preserve">A spatial map identifying "orthodontic deserts" in Manila requiring urgent intervention.</w:t>
      </w:r>
    </w:p>
    <w:p>
      <w:pPr>
        <w:numPr>
          <w:ilvl w:val="0"/>
          <w:numId w:val="1008"/>
        </w:numPr>
        <w:pStyle w:val="Compact"/>
      </w:pPr>
      <w:r>
        <w:t xml:space="preserve">A policy brief for the DOH proposing a Manila Orthodontic Access Task Force.</w:t>
      </w:r>
    </w:p>
    <w:p>
      <w:pPr>
        <w:numPr>
          <w:ilvl w:val="0"/>
          <w:numId w:val="1008"/>
        </w:numPr>
        <w:pStyle w:val="Compact"/>
      </w:pPr>
      <w:r>
        <w:t xml:space="preserve">Framework for scaling MOUs to other Philippine cities (e.g., Cebu, Davao) post-Manila pilot.</w:t>
      </w:r>
    </w:p>
    <w:bookmarkEnd w:id="27"/>
    <w:bookmarkStart w:id="28" w:name="ix.-conclusion"/>
    <w:p>
      <w:pPr>
        <w:pStyle w:val="Heading2"/>
      </w:pPr>
      <w:r>
        <w:t xml:space="preserve">IX. Conclusion</w:t>
      </w:r>
    </w:p>
    <w:p>
      <w:pPr>
        <w:pStyle w:val="FirstParagraph"/>
      </w:pPr>
      <w:r>
        <w:t xml:space="preserve">As the Philippines urbanizes at 3% annually, Manila’s adolescent population faces escalating orthodontic needs amid persistent service gaps. This</w:t>
      </w:r>
      <w:r>
        <w:t xml:space="preserve"> </w:t>
      </w:r>
      <w:r>
        <w:rPr>
          <w:iCs/>
          <w:i/>
        </w:rPr>
        <w:t xml:space="preserve">Thesis Proposal</w:t>
      </w:r>
      <w:r>
        <w:t xml:space="preserve"> </w:t>
      </w:r>
      <w:r>
        <w:t xml:space="preserve">advances a critical step toward transforming Manila into a model for equitable specialty care delivery in Southeast Asia. By centering the lived experiences of Filipino adolescents and collaborating with local</w:t>
      </w:r>
      <w:r>
        <w:t xml:space="preserve"> </w:t>
      </w:r>
      <w:r>
        <w:rPr>
          <w:iCs/>
          <w:i/>
        </w:rPr>
        <w:t xml:space="preserve">Orthodontist</w:t>
      </w:r>
      <w:r>
        <w:t xml:space="preserve"> </w:t>
      </w:r>
      <w:r>
        <w:t xml:space="preserve">networks, this research promises not just academic rigor but tangible health equity gains within the</w:t>
      </w:r>
      <w:r>
        <w:t xml:space="preserve"> </w:t>
      </w:r>
      <w:r>
        <w:rPr>
          <w:iCs/>
          <w:i/>
        </w:rPr>
        <w:t xml:space="preserve">Philippines Manila</w:t>
      </w:r>
      <w:r>
        <w:t xml:space="preserve"> </w:t>
      </w:r>
      <w:r>
        <w:t xml:space="preserve">context. The proposed solutions will empower future orthodontists to serve as agents of change—not merely clinicians, but community health architects in a rapidly evolving urban landscape.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Accessibility in Metropolitan Manila, Philippines</dc:title>
  <dc:creator/>
  <dc:language>en</dc:language>
  <cp:keywords/>
  <dcterms:created xsi:type="dcterms:W3CDTF">2025-12-10T20:15:20Z</dcterms:created>
  <dcterms:modified xsi:type="dcterms:W3CDTF">2025-12-10T20:15:20Z</dcterms:modified>
</cp:coreProperties>
</file>

<file path=docProps/custom.xml><?xml version="1.0" encoding="utf-8"?>
<Properties xmlns="http://schemas.openxmlformats.org/officeDocument/2006/custom-properties" xmlns:vt="http://schemas.openxmlformats.org/officeDocument/2006/docPropsVTypes"/>
</file>