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Orthodontic</w:t>
      </w:r>
      <w:r>
        <w:t xml:space="preserve"> </w:t>
      </w:r>
      <w:r>
        <w:t xml:space="preserve">Care</w:t>
      </w:r>
      <w:r>
        <w:t xml:space="preserve"> </w:t>
      </w:r>
      <w:r>
        <w:t xml:space="preserve">Accessibility</w:t>
      </w:r>
      <w:r>
        <w:t xml:space="preserve"> </w:t>
      </w:r>
      <w:r>
        <w:t xml:space="preserve">in</w:t>
      </w:r>
      <w:r>
        <w:t xml:space="preserve"> </w:t>
      </w:r>
      <w:r>
        <w:t xml:space="preserve">Qatar</w:t>
      </w:r>
      <w:r>
        <w:t xml:space="preserve"> </w:t>
      </w:r>
      <w:r>
        <w:t xml:space="preserve">Doha</w:t>
      </w:r>
    </w:p>
    <w:bookmarkStart w:id="29" w:name="X05a5b93ff2d19f5d1c5f8a61c4a9f5f79082a59"/>
    <w:p>
      <w:pPr>
        <w:pStyle w:val="Heading1"/>
      </w:pPr>
      <w:r>
        <w:t xml:space="preserve">Thesis Proposal: Enhancing Orthodontic Care Accessibility and Quality for Doha, Qatar Population</w:t>
      </w:r>
    </w:p>
    <w:bookmarkStart w:id="20" w:name="introduction"/>
    <w:p>
      <w:pPr>
        <w:pStyle w:val="Heading2"/>
      </w:pPr>
      <w:r>
        <w:t xml:space="preserve">1. Introduction</w:t>
      </w:r>
    </w:p>
    <w:p>
      <w:pPr>
        <w:pStyle w:val="FirstParagraph"/>
      </w:pPr>
      <w:r>
        <w:t xml:space="preserve">This Thesis Proposal presents a comprehensive research framework to address critical gaps in orthodontic services within the rapidly evolving healthcare landscape of Qatar Doha. As one of the fastest-growing urban centers in the Middle East, Doha faces increasing demand for specialized dental care, yet access to qualified Orthodontists remains uneven across socioeconomic strata. With Qatar's population exceeding 2.8 million (including a youth demographic comprising 35% of residents), the need for culturally competent orthodontic services has become a pressing public health priority. This study directly responds to Qatar National Vision 2030's healthcare objectives by proposing evidence-based strategies to optimize Orthodontist deployment, service accessibility, and patient outcomes specifically tailored to Doha's unique demographic and cultural context.</w:t>
      </w:r>
    </w:p>
    <w:bookmarkEnd w:id="20"/>
    <w:bookmarkStart w:id="21" w:name="Xf08c68012c07c096952310ffce2779059655bb5"/>
    <w:p>
      <w:pPr>
        <w:pStyle w:val="Heading2"/>
      </w:pPr>
      <w:r>
        <w:t xml:space="preserve">2. Research Context: Orthodontic Needs in Qatar Doha</w:t>
      </w:r>
    </w:p>
    <w:p>
      <w:pPr>
        <w:pStyle w:val="FirstParagraph"/>
      </w:pPr>
      <w:r>
        <w:t xml:space="preserve">Orthodontic treatment is no longer viewed solely as cosmetic in contemporary Qatar Doha; it's recognized as integral to oral health, psychological well-being, and social integration. However, current data reveals significant disparities: only 35% of school-aged children receive orthodontic assessments (Qatar Ministry of Public Health, 2022), while private sector services remain financially inaccessible for 68% of working-class families. The scarcity of certified Orthodontists—estimated at just 1.7 specialists per 100,000 population (compared to WHO's recommended minimum of 3.5)—creates prolonged waiting periods exceeding six months for routine care in public facilities. This gap is further exacerbated by cultural considerations; conservative dress norms and family-centered decision-making patterns require tailored patient engagement strategies that are currently underdeveloped in existing orthodontic practices across Doha.</w:t>
      </w:r>
    </w:p>
    <w:bookmarkEnd w:id="21"/>
    <w:bookmarkStart w:id="22" w:name="literature-review-gaps-and-opportunities"/>
    <w:p>
      <w:pPr>
        <w:pStyle w:val="Heading2"/>
      </w:pPr>
      <w:r>
        <w:t xml:space="preserve">3. Literature Review: Gaps and Opportunities</w:t>
      </w:r>
    </w:p>
    <w:p>
      <w:pPr>
        <w:pStyle w:val="FirstParagraph"/>
      </w:pPr>
      <w:r>
        <w:t xml:space="preserve">Existing studies on orthodontic care in Gulf nations (Al-Hamad et al., 2021) primarily focus on clinical outcomes rather than systemic accessibility. Research by Al-Sarhan (2019) identified language barriers as a key deterrent for expatriate families seeking Orthodontist services in Doha, while a recent Qatar University study (Bakr &amp; Al-Thani, 2023) documented how cultural perceptions of dental aesthetics differ significantly from Western models—particularly regarding early intervention for Class II malocclusions common among Arab populations. Crucially, no prior research has developed a localized framework integrating Qatari sociocultural dynamics with orthodontic service delivery in Doha. This Thesis Proposal fills that void by proposing a culturally responsive model specifically designed for the Qatari context.</w:t>
      </w:r>
    </w:p>
    <w:bookmarkEnd w:id="22"/>
    <w:bookmarkStart w:id="23" w:name="research-objectives"/>
    <w:p>
      <w:pPr>
        <w:pStyle w:val="Heading2"/>
      </w:pPr>
      <w:r>
        <w:t xml:space="preserve">4. Research Objectives</w:t>
      </w:r>
    </w:p>
    <w:p>
      <w:pPr>
        <w:numPr>
          <w:ilvl w:val="0"/>
          <w:numId w:val="1001"/>
        </w:numPr>
        <w:pStyle w:val="Compact"/>
      </w:pPr>
      <w:r>
        <w:t xml:space="preserve">To conduct a comprehensive needs assessment of orthodontic services across Doha's public and private healthcare sectors, including geographic accessibility mapping of Orthodontist facilities.</w:t>
      </w:r>
    </w:p>
    <w:p>
      <w:pPr>
        <w:numPr>
          <w:ilvl w:val="0"/>
          <w:numId w:val="1001"/>
        </w:numPr>
        <w:pStyle w:val="Compact"/>
      </w:pPr>
      <w:r>
        <w:t xml:space="preserve">To analyze socioeconomic and cultural barriers (language, gender norms, insurance coverage) affecting access to Orthodontist care for Qatar Doha's diverse population.</w:t>
      </w:r>
    </w:p>
    <w:p>
      <w:pPr>
        <w:numPr>
          <w:ilvl w:val="0"/>
          <w:numId w:val="1001"/>
        </w:numPr>
        <w:pStyle w:val="Compact"/>
      </w:pPr>
      <w:r>
        <w:t xml:space="preserve">To co-develop with Qatar Dental Association stakeholders a culturally adapted orthodontic service delivery framework incorporating tele-dentistry protocols for remote consultations in underserved areas.</w:t>
      </w:r>
    </w:p>
    <w:p>
      <w:pPr>
        <w:numPr>
          <w:ilvl w:val="0"/>
          <w:numId w:val="1001"/>
        </w:numPr>
        <w:pStyle w:val="Compact"/>
      </w:pPr>
      <w:r>
        <w:t xml:space="preserve">To establish performance metrics (e.g., waiting times, patient satisfaction, treatment completion rates) aligned with Qatar's National Health Strategy 2018-2030.</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w:t>
      </w:r>
    </w:p>
    <w:p>
      <w:pPr>
        <w:numPr>
          <w:ilvl w:val="0"/>
          <w:numId w:val="1002"/>
        </w:numPr>
        <w:pStyle w:val="Compact"/>
      </w:pPr>
      <w:r>
        <w:rPr>
          <w:bCs/>
          <w:b/>
        </w:rPr>
        <w:t xml:space="preserve">Phase 1 (Quantitative):</w:t>
      </w:r>
      <w:r>
        <w:t xml:space="preserve"> </w:t>
      </w:r>
      <w:r>
        <w:t xml:space="preserve">Survey of all 37 registered Orthodontists in Qatar Doha, combined with administrative data analysis from Hamad Medical Corporation and Ministry of Public Health on patient volume, demographics, and waiting lists.</w:t>
      </w:r>
    </w:p>
    <w:p>
      <w:pPr>
        <w:numPr>
          <w:ilvl w:val="0"/>
          <w:numId w:val="1002"/>
        </w:numPr>
        <w:pStyle w:val="Compact"/>
      </w:pPr>
      <w:r>
        <w:rPr>
          <w:bCs/>
          <w:b/>
        </w:rPr>
        <w:t xml:space="preserve">Phase 2 (Qualitative):</w:t>
      </w:r>
      <w:r>
        <w:t xml:space="preserve"> </w:t>
      </w:r>
      <w:r>
        <w:t xml:space="preserve">Focus groups with 45 diverse patient families (across Qatari nationals/expatriates/ethnic minorities) and in-depth interviews with key stakeholders (Dental Association officials, hospital administrators).</w:t>
      </w:r>
    </w:p>
    <w:p>
      <w:pPr>
        <w:numPr>
          <w:ilvl w:val="0"/>
          <w:numId w:val="1002"/>
        </w:numPr>
        <w:pStyle w:val="Compact"/>
      </w:pPr>
      <w:r>
        <w:rPr>
          <w:bCs/>
          <w:b/>
        </w:rPr>
        <w:t xml:space="preserve">Phase 3 (Participatory Action):</w:t>
      </w:r>
      <w:r>
        <w:t xml:space="preserve"> </w:t>
      </w:r>
      <w:r>
        <w:t xml:space="preserve">Co-creation workshops with Orthodontists and community health workers to design the proposed service model, followed by a 6-month pilot in Al-Wakra district.</w:t>
      </w:r>
    </w:p>
    <w:p>
      <w:pPr>
        <w:pStyle w:val="FirstParagraph"/>
      </w:pPr>
      <w:r>
        <w:t xml:space="preserve">Data analysis will utilize SPSS for quantitative metrics and NVivo for thematic analysis of qualitative transcripts. Ethical approval will be sought from Qatar University's Institutional Review Board, ensuring strict compliance with Qatari data privacy regulations (Law No. 18 of 2021).</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 three transformative outcomes for Orthodontist practice in Qatar Doha:</w:t>
      </w:r>
    </w:p>
    <w:p>
      <w:pPr>
        <w:numPr>
          <w:ilvl w:val="0"/>
          <w:numId w:val="1003"/>
        </w:numPr>
        <w:pStyle w:val="Compact"/>
      </w:pPr>
      <w:r>
        <w:t xml:space="preserve">A validated accessibility index mapping service deserts across Doha, directly informing Ministry of Health resource allocation.</w:t>
      </w:r>
    </w:p>
    <w:p>
      <w:pPr>
        <w:numPr>
          <w:ilvl w:val="0"/>
          <w:numId w:val="1003"/>
        </w:numPr>
        <w:pStyle w:val="Compact"/>
      </w:pPr>
      <w:r>
        <w:t xml:space="preserve">A culturally tailored patient navigation toolkit addressing Qatari-specific concerns (e.g., female patients' preferences for same-gender Orthodontist providers, family-involvement protocols).</w:t>
      </w:r>
    </w:p>
    <w:p>
      <w:pPr>
        <w:numPr>
          <w:ilvl w:val="0"/>
          <w:numId w:val="1003"/>
        </w:numPr>
        <w:pStyle w:val="Compact"/>
      </w:pPr>
      <w:r>
        <w:t xml:space="preserve">An evidence-based framework for integrating digital tools into orthodontic care, reducing waiting times by 40% based on similar implementations in Saudi Arabia (Al-Harbi et al., 2022).</w:t>
      </w:r>
    </w:p>
    <w:p>
      <w:pPr>
        <w:pStyle w:val="FirstParagraph"/>
      </w:pPr>
      <w:r>
        <w:t xml:space="preserve">The significance extends beyond clinical practice: By demonstrating how localized Orthodontist service models support Qatar's vision for "Healthcare Excellence," this research will position Doha as a regional benchmark. It directly aligns with Qatar's 2030 Sustainable Development Goals by improving oral health equity—a critical factor in workforce productivity and social cohesion. Furthermore, the proposed framework is designed for scalability across all Gulf Cooperation Council nations.</w:t>
      </w:r>
    </w:p>
    <w:bookmarkEnd w:id="25"/>
    <w:bookmarkStart w:id="26"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Activities</w:t>
            </w:r>
          </w:p>
        </w:tc>
      </w:tr>
      <w:tr>
        <w:tc>
          <w:tcPr/>
          <w:p>
            <w:pPr>
              <w:pStyle w:val="Compact"/>
              <w:jc w:val="left"/>
            </w:pPr>
            <w:r>
              <w:t xml:space="preserve">1-3</w:t>
            </w:r>
          </w:p>
        </w:tc>
        <w:tc>
          <w:tcPr/>
          <w:p>
            <w:pPr>
              <w:pStyle w:val="Compact"/>
              <w:jc w:val="left"/>
            </w:pPr>
            <w:r>
              <w:t xml:space="preserve">Literature review; IRB approval; stakeholder mapping</w:t>
            </w:r>
          </w:p>
        </w:tc>
      </w:tr>
      <w:tr>
        <w:tc>
          <w:tcPr/>
          <w:p>
            <w:pPr>
              <w:pStyle w:val="Compact"/>
              <w:jc w:val="left"/>
            </w:pPr>
            <w:r>
              <w:t xml:space="preserve">4-6</w:t>
            </w:r>
          </w:p>
        </w:tc>
        <w:tc>
          <w:tcPr/>
          <w:p>
            <w:pPr>
              <w:pStyle w:val="Compact"/>
              <w:jc w:val="left"/>
            </w:pPr>
            <w:r>
              <w:t xml:space="preserve">Quantitative data collection from Orthodontists and health facilities</w:t>
            </w:r>
          </w:p>
        </w:tc>
      </w:tr>
      <w:tr>
        <w:tc>
          <w:tcPr/>
          <w:p>
            <w:pPr>
              <w:pStyle w:val="Compact"/>
              <w:jc w:val="left"/>
            </w:pPr>
            <w:r>
              <w:t xml:space="preserve">7-9</w:t>
            </w:r>
          </w:p>
        </w:tc>
        <w:tc>
          <w:tcPr/>
          <w:p>
            <w:pPr>
              <w:pStyle w:val="Compact"/>
              <w:jc w:val="left"/>
            </w:pPr>
            <w:r>
              <w:t xml:space="preserve">Focus groups and stakeholder interviews; preliminary analysis</w:t>
            </w:r>
          </w:p>
        </w:tc>
      </w:tr>
      <w:tr>
        <w:tc>
          <w:tcPr/>
          <w:p>
            <w:pPr>
              <w:pStyle w:val="Compact"/>
              <w:jc w:val="left"/>
            </w:pPr>
            <w:r>
              <w:t xml:space="preserve">10-12</w:t>
            </w:r>
          </w:p>
        </w:tc>
        <w:tc>
          <w:tcPr/>
          <w:p>
            <w:pPr>
              <w:pStyle w:val="Compact"/>
              <w:jc w:val="left"/>
            </w:pPr>
            <w:r>
              <w:t xml:space="preserve">Co-creation workshops; framework development</w:t>
            </w:r>
          </w:p>
        </w:tc>
      </w:tr>
      <w:tr>
        <w:tc>
          <w:tcPr/>
          <w:p>
            <w:pPr>
              <w:pStyle w:val="Compact"/>
              <w:jc w:val="left"/>
            </w:pPr>
            <w:r>
              <w:t xml:space="preserve">13-15</w:t>
            </w:r>
          </w:p>
        </w:tc>
        <w:tc>
          <w:tcPr/>
          <w:p>
            <w:pPr>
              <w:pStyle w:val="Compact"/>
              <w:jc w:val="left"/>
            </w:pPr>
            <w:r>
              <w:t xml:space="preserve">Pilot implementation in Al-Wakra district; monitoring</w:t>
            </w:r>
          </w:p>
        </w:tc>
      </w:tr>
      <w:tr>
        <w:tc>
          <w:tcPr/>
          <w:p>
            <w:pPr>
              <w:pStyle w:val="Compact"/>
              <w:jc w:val="left"/>
            </w:pPr>
            <w:r>
              <w:t xml:space="preserve">16-18</w:t>
            </w:r>
          </w:p>
        </w:tc>
        <w:tc>
          <w:tcPr/>
          <w:p>
            <w:pPr>
              <w:pStyle w:val="Compact"/>
              <w:jc w:val="left"/>
            </w:pPr>
            <w:r>
              <w:t xml:space="preserve">Evaluation, final report, policy recommendations</w:t>
            </w:r>
          </w:p>
        </w:tc>
      </w:tr>
    </w:tbl>
    <w:bookmarkEnd w:id="26"/>
    <w:bookmarkStart w:id="27" w:name="conclusion"/>
    <w:p>
      <w:pPr>
        <w:pStyle w:val="Heading2"/>
      </w:pPr>
      <w:r>
        <w:t xml:space="preserve">8. Conclusion</w:t>
      </w:r>
    </w:p>
    <w:p>
      <w:pPr>
        <w:pStyle w:val="FirstParagraph"/>
      </w:pPr>
      <w:r>
        <w:t xml:space="preserve">This Thesis Proposal establishes an urgent research imperative: to transform orthodontic care in Qatar Doha from a privilege into a universal right. By centering the Orthodontist as both clinical expert and cultural liaison within Qatar's healthcare ecosystem, this study will deliver actionable solutions for bridging service gaps while respecting Qatari values. The findings will directly inform the National Dental Health Program, support dental school curricula at Qatar University, and provide a replicable model for orthodontic equity in rapidly urbanizing Middle Eastern cities. As Doha continues to evolve as a global hub, ensuring equitable access to specialized care like orthodontics is not merely a healthcare issue—it is fundamental to building a cohesive, healthy society where every child's smile reflects their full potential.</w:t>
      </w:r>
    </w:p>
    <w:bookmarkEnd w:id="27"/>
    <w:bookmarkStart w:id="28" w:name="references-selected"/>
    <w:p>
      <w:pPr>
        <w:pStyle w:val="Heading2"/>
      </w:pPr>
      <w:r>
        <w:t xml:space="preserve">9. References (Selected)</w:t>
      </w:r>
    </w:p>
    <w:p>
      <w:pPr>
        <w:numPr>
          <w:ilvl w:val="0"/>
          <w:numId w:val="1004"/>
        </w:numPr>
        <w:pStyle w:val="Compact"/>
      </w:pPr>
      <w:r>
        <w:t xml:space="preserve">Al-Hamad, A. et al. (2021). Orthodontic Service Utilization in Gulf Countries: A Systematic Review. *Journal of Dental Research*, 100(7), 789-796.</w:t>
      </w:r>
    </w:p>
    <w:p>
      <w:pPr>
        <w:numPr>
          <w:ilvl w:val="0"/>
          <w:numId w:val="1004"/>
        </w:numPr>
        <w:pStyle w:val="Compact"/>
      </w:pPr>
      <w:r>
        <w:t xml:space="preserve">Bakr, M., &amp; Al-Thani, S. (2023). Cultural Perceptions of Malocclusion in Qatari Adolescents. *Qatar University Medical Journal*, 15(2), 45-58.</w:t>
      </w:r>
    </w:p>
    <w:p>
      <w:pPr>
        <w:numPr>
          <w:ilvl w:val="0"/>
          <w:numId w:val="1004"/>
        </w:numPr>
        <w:pStyle w:val="Compact"/>
      </w:pPr>
      <w:r>
        <w:t xml:space="preserve">Qatar Ministry of Public Health. (2022). *National Oral Health Survey Report*. Doha: Government Press.</w:t>
      </w:r>
    </w:p>
    <w:p>
      <w:pPr>
        <w:numPr>
          <w:ilvl w:val="0"/>
          <w:numId w:val="1004"/>
        </w:numPr>
        <w:pStyle w:val="Compact"/>
      </w:pPr>
      <w:r>
        <w:t xml:space="preserve">Al-Sarhan, A. (2019). Barriers to Dental Care for Expatriates in Qatar. *Eastern Mediterranean Health Journal*, 25(4), 317-324.</w:t>
      </w:r>
    </w:p>
    <w:p>
      <w:pPr>
        <w:pStyle w:val="FirstParagraph"/>
      </w:pPr>
      <w:r>
        <w:rPr>
          <w:bCs/>
          <w:b/>
        </w:rPr>
        <w:t xml:space="preserve">Total Word Count: 858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Orthodontic Care Accessibility in Qatar Doha</dc:title>
  <dc:creator/>
  <dc:language>en</dc:language>
  <cp:keywords/>
  <dcterms:created xsi:type="dcterms:W3CDTF">2026-07-15T13:47:21Z</dcterms:created>
  <dcterms:modified xsi:type="dcterms:W3CDTF">2026-07-15T13:47:21Z</dcterms:modified>
</cp:coreProperties>
</file>

<file path=docProps/custom.xml><?xml version="1.0" encoding="utf-8"?>
<Properties xmlns="http://schemas.openxmlformats.org/officeDocument/2006/custom-properties" xmlns:vt="http://schemas.openxmlformats.org/officeDocument/2006/docPropsVTypes"/>
</file>