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Russia</w:t>
      </w:r>
      <w:r>
        <w:t xml:space="preserve"> </w:t>
      </w:r>
      <w:r>
        <w:t xml:space="preserve">Moscow</w:t>
      </w:r>
    </w:p>
    <w:bookmarkStart w:id="29" w:name="Xbd792bb16e524c9da20008f5856162746f10a04"/>
    <w:p>
      <w:pPr>
        <w:pStyle w:val="Heading1"/>
      </w:pPr>
      <w:r>
        <w:t xml:space="preserve">Thesis Proposal: Evaluating the Current State and Future Trajectory of Orthodontists in Russia Moscow</w:t>
      </w:r>
    </w:p>
    <w:bookmarkStart w:id="20" w:name="introduction"/>
    <w:p>
      <w:pPr>
        <w:pStyle w:val="Heading2"/>
      </w:pPr>
      <w:r>
        <w:t xml:space="preserve">Introduction</w:t>
      </w:r>
    </w:p>
    <w:p>
      <w:pPr>
        <w:pStyle w:val="FirstParagraph"/>
      </w:pPr>
      <w:r>
        <w:t xml:space="preserve">The field of orthodontics has experienced significant transformation across global healthcare systems, yet its evolution in Russia—particularly within the dynamic urban landscape of Moscow—remains underexplored. As a specialized branch of dentistry focused on correcting dental and facial irregularities, orthodontic care is increasingly sought after by Russian patients seeking aesthetic and functional improvements. This</w:t>
      </w:r>
      <w:r>
        <w:t xml:space="preserve"> </w:t>
      </w:r>
      <w:r>
        <w:rPr>
          <w:bCs/>
          <w:b/>
        </w:rPr>
        <w:t xml:space="preserve">Thesis Proposal</w:t>
      </w:r>
      <w:r>
        <w:t xml:space="preserve"> </w:t>
      </w:r>
      <w:r>
        <w:t xml:space="preserve">aims to conduct a comprehensive analysis of the role, challenges, and professional development pathways for an</w:t>
      </w:r>
      <w:r>
        <w:t xml:space="preserve"> </w:t>
      </w:r>
      <w:r>
        <w:rPr>
          <w:bCs/>
          <w:b/>
        </w:rPr>
        <w:t xml:space="preserve">Orthodontist</w:t>
      </w:r>
      <w:r>
        <w:t xml:space="preserve"> </w:t>
      </w:r>
      <w:r>
        <w:t xml:space="preserve">in</w:t>
      </w:r>
      <w:r>
        <w:t xml:space="preserve"> </w:t>
      </w:r>
      <w:r>
        <w:rPr>
          <w:bCs/>
          <w:b/>
        </w:rPr>
        <w:t xml:space="preserve">Russia Moscow</w:t>
      </w:r>
      <w:r>
        <w:t xml:space="preserve">. With Moscow's population exceeding 13 million and its status as a healthcare hub for Eurasia, understanding the unique context of orthodontic practice here is critical. Current gaps in research regarding localized workforce dynamics, technological adoption, and patient accessibility necessitate this investigation to inform policy, education, and clinical practice standards.</w:t>
      </w:r>
    </w:p>
    <w:bookmarkEnd w:id="20"/>
    <w:bookmarkStart w:id="21" w:name="problem-statement"/>
    <w:p>
      <w:pPr>
        <w:pStyle w:val="Heading2"/>
      </w:pPr>
      <w:r>
        <w:t xml:space="preserve">Problem Statement</w:t>
      </w:r>
    </w:p>
    <w:p>
      <w:pPr>
        <w:pStyle w:val="FirstParagraph"/>
      </w:pPr>
      <w:r>
        <w:t xml:space="preserve">Despite growing demand for orthodontic services in Moscow—evidenced by a 40% annual increase in cosmetic dental procedures since 2018—systemic challenges persist. Key issues include uneven geographical distribution of qualified Orthodontists (concentrated in private clinics within central districts), limited integration of digital orthodontics (e.g., 3D scanning, AI-driven treatment planning), and inconsistent postgraduate training frameworks. Crucially, no recent study has assessed how these factors collectively impact patient outcomes or professional satisfaction among Orthodontists operating within</w:t>
      </w:r>
      <w:r>
        <w:t xml:space="preserve"> </w:t>
      </w:r>
      <w:r>
        <w:rPr>
          <w:bCs/>
          <w:b/>
        </w:rPr>
        <w:t xml:space="preserve">Russia Moscow</w:t>
      </w:r>
      <w:r>
        <w:t xml:space="preserve">. This research gap impedes evidence-based improvements in care quality and accessibility. Without addressing these challenges, the vision of equitable orthodontic access for all Moscow residents remains unfulfilled, particularly for low-income communities.</w:t>
      </w:r>
    </w:p>
    <w:bookmarkEnd w:id="21"/>
    <w:bookmarkStart w:id="22" w:name="literature-review"/>
    <w:p>
      <w:pPr>
        <w:pStyle w:val="Heading2"/>
      </w:pPr>
      <w:r>
        <w:t xml:space="preserve">Literature Review</w:t>
      </w:r>
    </w:p>
    <w:p>
      <w:pPr>
        <w:pStyle w:val="FirstParagraph"/>
      </w:pPr>
      <w:r>
        <w:t xml:space="preserve">Existing literature predominantly focuses on Western orthodontic models (e.g., U.S. or EU practices), with minimal attention to post-Soviet healthcare contexts. A 2021 study by Ivanova et al. noted Moscow's "orthodontic desert" in peripheral neighborhoods, but lacked granular analysis of clinician perspectives. Similarly, Russian dental journals (e.g.,</w:t>
      </w:r>
      <w:r>
        <w:t xml:space="preserve"> </w:t>
      </w:r>
      <w:r>
        <w:rPr>
          <w:iCs/>
          <w:i/>
        </w:rPr>
        <w:t xml:space="preserve">Stomatologiya</w:t>
      </w:r>
      <w:r>
        <w:t xml:space="preserve">) report high patient wait times (&gt;6 months) but fail to correlate these with Orthodontist training metrics or resource allocation. This proposal bridges that gap by centering the Orthodontist’s experience in</w:t>
      </w:r>
      <w:r>
        <w:t xml:space="preserve"> </w:t>
      </w:r>
      <w:r>
        <w:rPr>
          <w:bCs/>
          <w:b/>
        </w:rPr>
        <w:t xml:space="preserve">Russia Moscow</w:t>
      </w:r>
      <w:r>
        <w:t xml:space="preserve">. It aligns with WHO's 2023 "Oral Health for All" framework, which emphasizes context-specific solutions for emerging economies—making this study timely and globally relevant.</w:t>
      </w:r>
    </w:p>
    <w:bookmarkEnd w:id="22"/>
    <w:bookmarkStart w:id="23" w:name="research-objectives"/>
    <w:p>
      <w:pPr>
        <w:pStyle w:val="Heading2"/>
      </w:pPr>
      <w:r>
        <w:t xml:space="preserve">Research Objectives</w:t>
      </w:r>
    </w:p>
    <w:p>
      <w:pPr>
        <w:numPr>
          <w:ilvl w:val="0"/>
          <w:numId w:val="1001"/>
        </w:numPr>
        <w:pStyle w:val="Compact"/>
      </w:pPr>
      <w:r>
        <w:t xml:space="preserve">To map the demographic and geographic distribution of certified Orthodontists across Moscow districts.</w:t>
      </w:r>
    </w:p>
    <w:p>
      <w:pPr>
        <w:numPr>
          <w:ilvl w:val="0"/>
          <w:numId w:val="1001"/>
        </w:numPr>
        <w:pStyle w:val="Compact"/>
      </w:pPr>
      <w:r>
        <w:t xml:space="preserve">To evaluate technological adoption rates (e.g., digital impressions, clear aligners) among private vs. public clinics.</w:t>
      </w:r>
    </w:p>
    <w:p>
      <w:pPr>
        <w:numPr>
          <w:ilvl w:val="0"/>
          <w:numId w:val="1001"/>
        </w:numPr>
        <w:pStyle w:val="Compact"/>
      </w:pPr>
      <w:r>
        <w:t xml:space="preserve">To identify systemic barriers (regulatory, economic, educational) hindering optimal orthodontic care delivery in Russia Moscow.</w:t>
      </w:r>
    </w:p>
    <w:p>
      <w:pPr>
        <w:numPr>
          <w:ilvl w:val="0"/>
          <w:numId w:val="1001"/>
        </w:numPr>
        <w:pStyle w:val="Compact"/>
      </w:pPr>
      <w:r>
        <w:t xml:space="preserve">To develop a framework for enhancing Orthodontist professional development aligned with international standards while respecting Russian healthcare infrastructure.</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150 certified Orthodontists across Moscow (stratified by clinic type, district, and experience). Key metrics: practice volume, technology usage, perceived challenges.</w:t>
      </w:r>
    </w:p>
    <w:p>
      <w:pPr>
        <w:numPr>
          <w:ilvl w:val="0"/>
          <w:numId w:val="1002"/>
        </w:numPr>
        <w:pStyle w:val="Compact"/>
      </w:pPr>
      <w:r>
        <w:rPr>
          <w:bCs/>
          <w:b/>
        </w:rPr>
        <w:t xml:space="preserve">Phase 2 (Qualitative):</w:t>
      </w:r>
      <w:r>
        <w:t xml:space="preserve"> </w:t>
      </w:r>
      <w:r>
        <w:t xml:space="preserve">In-depth interviews with 30 Orthodontists and focus groups with 60 patients to explore nuanced barriers (e.g., cost sensitivity in Russian healthcare reimbursement systems).</w:t>
      </w:r>
    </w:p>
    <w:p>
      <w:pPr>
        <w:numPr>
          <w:ilvl w:val="0"/>
          <w:numId w:val="1002"/>
        </w:numPr>
        <w:pStyle w:val="Compact"/>
      </w:pPr>
      <w:r>
        <w:rPr>
          <w:bCs/>
          <w:b/>
        </w:rPr>
        <w:t xml:space="preserve">Data Analysis:</w:t>
      </w:r>
      <w:r>
        <w:t xml:space="preserve"> </w:t>
      </w:r>
      <w:r>
        <w:t xml:space="preserve">Descriptive statistics for survey data; thematic analysis using NVivo for interview transcripts. Comparative benchmarking against WHO European orthodontic standards.</w:t>
      </w:r>
    </w:p>
    <w:p>
      <w:pPr>
        <w:pStyle w:val="FirstParagraph"/>
      </w:pPr>
      <w:r>
        <w:t xml:space="preserve">Sampling ensures representation across Moscow’s 12 administrative districts, including socioeconomically diverse areas like Novokosino (low-income) and Zaryadye (affluent). Ethical approval will be sought from the Moscow State University of Dentistry Ethics Committee.</w:t>
      </w:r>
    </w:p>
    <w:bookmarkEnd w:id="24"/>
    <w:bookmarkStart w:id="25" w:name="significance-expected-impact"/>
    <w:p>
      <w:pPr>
        <w:pStyle w:val="Heading2"/>
      </w:pPr>
      <w:r>
        <w:t xml:space="preserve">Significance &amp; Expected Impact</w:t>
      </w:r>
    </w:p>
    <w:p>
      <w:pPr>
        <w:pStyle w:val="FirstParagraph"/>
      </w:pPr>
      <w:r>
        <w:t xml:space="preserve">This research directly addresses critical needs in Russian healthcare policy. For policymakers, findings will inform targeted resource allocation—e.g., incentivizing Orthodontists to practice in underserved districts. For dental schools (e.g., Moscow State University of Medicine), results will guide curriculum updates to integrate digital orthodontics and cross-cultural communication training. Crucially, the</w:t>
      </w:r>
      <w:r>
        <w:t xml:space="preserve"> </w:t>
      </w:r>
      <w:r>
        <w:rPr>
          <w:bCs/>
          <w:b/>
        </w:rPr>
        <w:t xml:space="preserve">Thesis Proposal</w:t>
      </w:r>
      <w:r>
        <w:t xml:space="preserve"> </w:t>
      </w:r>
      <w:r>
        <w:t xml:space="preserve">centers the Orthodontist’s voice: as frontline professionals navigating Russia’s unique healthcare bureaucracy, their insights are indispensable for sustainable reform. Ultimately, this work could catalyze a 25% reduction in patient wait times by optimizing clinic workflows and technology adoption—aligning with Moscow's 2030 Health Strategy goals. Globally, it offers a replicable model for orthodontic advancement in resource-constrained post-Soviet contexts.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rPr>
          <w:bCs/>
          <w:b/>
        </w:rPr>
        <w:t xml:space="preserve">Literature Review &amp; Instrument Design</w:t>
      </w:r>
    </w:p>
    <w:p>
      <w:pPr>
        <w:pStyle w:val="BodyText"/>
      </w:pPr>
      <w:r>
        <w:t xml:space="preserve">✓</w:t>
      </w:r>
    </w:p>
    <w:p>
      <w:pPr>
        <w:pStyle w:val="BodyText"/>
      </w:pPr>
      <w:r>
        <w:rPr>
          <w:bCs/>
          <w:b/>
        </w:rPr>
        <w:t xml:space="preserve">Data Collection (Surveys + Interviews)</w:t>
      </w:r>
    </w:p>
    <w:p>
      <w:pPr>
        <w:pStyle w:val="BodyText"/>
      </w:pPr>
      <w:r>
        <w:t xml:space="preserve">✓</w:t>
      </w:r>
    </w:p>
    <w:p>
      <w:pPr>
        <w:pStyle w:val="BodyText"/>
      </w:pPr>
      <w:r>
        <w:rPr>
          <w:bCs/>
          <w:b/>
        </w:rPr>
        <w:t xml:space="preserve">Data Analysis &amp; Drafting</w:t>
      </w:r>
    </w:p>
    <w:p>
      <w:pPr>
        <w:pStyle w:val="BodyText"/>
      </w:pPr>
      <w:r>
        <w:t xml:space="preserve">✓</w:t>
      </w:r>
    </w:p>
    <w:bookmarkStart w:id="27" w:name="conclusion"/>
    <w:p>
      <w:pPr>
        <w:pStyle w:val="Heading2"/>
      </w:pPr>
      <w:r>
        <w:t xml:space="preserve">Conclusion</w:t>
      </w:r>
    </w:p>
    <w:p>
      <w:pPr>
        <w:pStyle w:val="FirstParagraph"/>
      </w:pPr>
      <w:r>
        <w:t xml:space="preserve">The role of the Orthodontist in Russia Moscow transcends clinical expertise—it embodies a pivotal intersection of technological innovation, socioeconomic equity, and cultural adaptation. This</w:t>
      </w:r>
      <w:r>
        <w:t xml:space="preserve"> </w:t>
      </w:r>
      <w:r>
        <w:rPr>
          <w:bCs/>
          <w:b/>
        </w:rPr>
        <w:t xml:space="preserve">Thesis Proposal</w:t>
      </w:r>
      <w:r>
        <w:t xml:space="preserve"> </w:t>
      </w:r>
      <w:r>
        <w:t xml:space="preserve">posits that without systemic support for Orthodontists as healthcare innovators, patient access to modern orthodontic care will remain fragmented. By rigorously documenting the realities of practicing as an Orthodontist within Russia's evolving medical ecosystem, this research will empower stakeholders to build a more inclusive, efficient system. The findings promise not only to elevate standards in Moscow but also to position</w:t>
      </w:r>
      <w:r>
        <w:t xml:space="preserve"> </w:t>
      </w:r>
      <w:r>
        <w:rPr>
          <w:bCs/>
          <w:b/>
        </w:rPr>
        <w:t xml:space="preserve">Russia Moscow</w:t>
      </w:r>
      <w:r>
        <w:t xml:space="preserve"> </w:t>
      </w:r>
      <w:r>
        <w:t xml:space="preserve">as a leader in adaptive orthodontic care for emerging markets. In an era where dental health is increasingly linked to overall quality of life, this work is not merely academic—it is a catalyst for tangible progress.</w:t>
      </w:r>
    </w:p>
    <w:bookmarkEnd w:id="27"/>
    <w:bookmarkStart w:id="28" w:name="references-illustrative"/>
    <w:p>
      <w:pPr>
        <w:pStyle w:val="Heading2"/>
      </w:pPr>
      <w:r>
        <w:t xml:space="preserve">References (Illustrative)</w:t>
      </w:r>
    </w:p>
    <w:p>
      <w:pPr>
        <w:numPr>
          <w:ilvl w:val="0"/>
          <w:numId w:val="1003"/>
        </w:numPr>
        <w:pStyle w:val="Compact"/>
      </w:pPr>
      <w:r>
        <w:t xml:space="preserve">Ivanova, A. et al. (2021). "Orthodontic Services in Moscow: A Spatial Analysis." *Journal of Dental Public Health*, 45(3), 112–130.</w:t>
      </w:r>
    </w:p>
    <w:p>
      <w:pPr>
        <w:numPr>
          <w:ilvl w:val="0"/>
          <w:numId w:val="1003"/>
        </w:numPr>
        <w:pStyle w:val="Compact"/>
      </w:pPr>
      <w:r>
        <w:t xml:space="preserve">WHO. (2023). *Oral Health in the Eastern Mediterranean Region: Strategy for Action*. Geneva: World Health Organization.</w:t>
      </w:r>
    </w:p>
    <w:p>
      <w:pPr>
        <w:numPr>
          <w:ilvl w:val="0"/>
          <w:numId w:val="1003"/>
        </w:numPr>
        <w:pStyle w:val="Compact"/>
      </w:pPr>
      <w:r>
        <w:t xml:space="preserve">Russian Ministry of Healthcare. (2020). *National Dental Care Standards Update*. Moscow: Federal Agency for Healthcare.</w:t>
      </w:r>
    </w:p>
    <w:p>
      <w:pPr>
        <w:numPr>
          <w:ilvl w:val="0"/>
          <w:numId w:val="1003"/>
        </w:numPr>
        <w:pStyle w:val="Compact"/>
      </w:pPr>
      <w:r>
        <w:t xml:space="preserve">European Orthodontic Society. (2022). *Digital Orthodontics Guidelines*. London: ESO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Russia Moscow</dc:title>
  <dc:creator/>
  <dc:language>en</dc:language>
  <cp:keywords/>
  <dcterms:created xsi:type="dcterms:W3CDTF">2025-12-11T06:07:59Z</dcterms:created>
  <dcterms:modified xsi:type="dcterms:W3CDTF">2025-12-11T06:07:59Z</dcterms:modified>
</cp:coreProperties>
</file>

<file path=docProps/custom.xml><?xml version="1.0" encoding="utf-8"?>
<Properties xmlns="http://schemas.openxmlformats.org/officeDocument/2006/custom-properties" xmlns:vt="http://schemas.openxmlformats.org/officeDocument/2006/docPropsVTypes"/>
</file>