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a1764b2dbc5f4bf61f9780907ff0904f7057f6"/>
    <w:p>
      <w:pPr>
        <w:pStyle w:val="Heading1"/>
      </w:pPr>
      <w:r>
        <w:t xml:space="preserve">Thesis Proposal: Advancing Orthodontic Care Accessibility and Quality in Saudi Arabia Jeddah</w:t>
      </w:r>
    </w:p>
    <w:bookmarkStart w:id="20" w:name="introduction-and-background"/>
    <w:p>
      <w:pPr>
        <w:pStyle w:val="Heading2"/>
      </w:pPr>
      <w:r>
        <w:t xml:space="preserve">1. Introduction and Background</w:t>
      </w:r>
    </w:p>
    <w:p>
      <w:pPr>
        <w:pStyle w:val="FirstParagraph"/>
      </w:pPr>
      <w:r>
        <w:t xml:space="preserve">Orthodontics represents a critical specialty within dentistry, focusing on correcting malocclusions, enhancing facial aesthetics, and improving oral function. In the rapidly evolving healthcare landscape of</w:t>
      </w:r>
      <w:r>
        <w:t xml:space="preserve"> </w:t>
      </w:r>
      <w:r>
        <w:rPr>
          <w:bCs/>
          <w:b/>
        </w:rPr>
        <w:t xml:space="preserve">Saudi Arabia Jeddah</w:t>
      </w:r>
      <w:r>
        <w:t xml:space="preserve">, orthodontic services have gained significant prominence due to rising public awareness and increasing demand among both adolescents and adults. However, a gap persists between growing patient needs and the capacity of local</w:t>
      </w:r>
      <w:r>
        <w:t xml:space="preserve"> </w:t>
      </w:r>
      <w:r>
        <w:rPr>
          <w:bCs/>
          <w:b/>
        </w:rPr>
        <w:t xml:space="preserve">Orthodontist</w:t>
      </w:r>
      <w:r>
        <w:t xml:space="preserve"> </w:t>
      </w:r>
      <w:r>
        <w:t xml:space="preserve">practitioners to deliver comprehensive, culturally sensitive care. This</w:t>
      </w:r>
      <w:r>
        <w:t xml:space="preserve"> </w:t>
      </w:r>
      <w:r>
        <w:rPr>
          <w:bCs/>
          <w:b/>
        </w:rPr>
        <w:t xml:space="preserve">Thesis Proposal</w:t>
      </w:r>
      <w:r>
        <w:t xml:space="preserve"> </w:t>
      </w:r>
      <w:r>
        <w:t xml:space="preserve">addresses these challenges by proposing a focused investigation into the current state of orthodontic services in Jeddah—the commercial capital of Saudi Arabia—aimed at optimizing accessibility, quality, and patient-centered outcomes.</w:t>
      </w:r>
    </w:p>
    <w:bookmarkEnd w:id="20"/>
    <w:bookmarkStart w:id="21" w:name="problem-statement"/>
    <w:p>
      <w:pPr>
        <w:pStyle w:val="Heading2"/>
      </w:pPr>
      <w:r>
        <w:t xml:space="preserve">2. Problem Statement</w:t>
      </w:r>
    </w:p>
    <w:p>
      <w:pPr>
        <w:pStyle w:val="FirstParagraph"/>
      </w:pPr>
      <w:r>
        <w:t xml:space="preserve">Jeddah’s population has grown to over 4.5 million residents, with a median age of 30 years, creating a substantial demographic for orthodontic intervention. Despite this demand, studies indicate that only 15% of Jeddah's dental clinics offer specialized orthodontic services (Alghamdi et al., 2022), and wait times exceed six months for non-urgent cases. Furthermore, cultural factors—such as gender-specific treatment preferences in conservative communities and the influence of social media on aesthetic expectations—remain underexplored in local practice. This disconnect between patient needs and service delivery necessitates a systematic study to guide evidence-based improvements in</w:t>
      </w:r>
      <w:r>
        <w:t xml:space="preserve"> </w:t>
      </w:r>
      <w:r>
        <w:rPr>
          <w:bCs/>
          <w:b/>
        </w:rPr>
        <w:t xml:space="preserve">Saudi Arabia Jeddah</w:t>
      </w:r>
      <w:r>
        <w:t xml:space="preserve">. As a leading city for healthcare innovation, Jeddah must lead national standards for orthodontic excellence.</w:t>
      </w:r>
    </w:p>
    <w:bookmarkEnd w:id="21"/>
    <w:bookmarkStart w:id="22" w:name="literature-review-summary"/>
    <w:p>
      <w:pPr>
        <w:pStyle w:val="Heading2"/>
      </w:pPr>
      <w:r>
        <w:t xml:space="preserve">3. Literature Review Summary</w:t>
      </w:r>
    </w:p>
    <w:p>
      <w:pPr>
        <w:pStyle w:val="FirstParagraph"/>
      </w:pPr>
      <w:r>
        <w:t xml:space="preserve">Existing research on orthodontics in the Middle East primarily focuses on clinical outcomes (e.g., Braces vs. clear aligners), but neglects socio-geographic and cultural contexts specific to Saudi Arabia. A 2021 study by Almalki highlighted high patient satisfaction rates with orthodontic treatment in Riyadh but omitted Jeddah’s unique urban dynamics. Similarly, a WHO report noted that dental care accessibility in coastal cities like Jeddah lags behind inland regions due to uneven resource distribution (WHO, 2023). Crucially, no comprehensive research has examined how Saudi cultural values—such as the prioritization of family input in treatment decisions or religious considerations affecting orthodontic schedules during Ramadan—affect patient adherence and outcomes. This</w:t>
      </w:r>
      <w:r>
        <w:t xml:space="preserve"> </w:t>
      </w:r>
      <w:r>
        <w:rPr>
          <w:bCs/>
          <w:b/>
        </w:rPr>
        <w:t xml:space="preserve">Thesis Proposal</w:t>
      </w:r>
      <w:r>
        <w:t xml:space="preserve"> </w:t>
      </w:r>
      <w:r>
        <w:t xml:space="preserve">will bridge this gap by centering Jeddah’s sociocultural framework within the analysis.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certified Orthodontist practitioners across Jeddah's districts and correlate this with population density and age demographics.</w:t>
      </w:r>
    </w:p>
    <w:p>
      <w:pPr>
        <w:numPr>
          <w:ilvl w:val="0"/>
          <w:numId w:val="1001"/>
        </w:numPr>
        <w:pStyle w:val="Compact"/>
      </w:pPr>
      <w:r>
        <w:t xml:space="preserve">To evaluate patient accessibility barriers, including cost sensitivity, insurance coverage gaps, and transportation challenges in underserved neighborhoods like Al-Murabba and Al-Balad.</w:t>
      </w:r>
    </w:p>
    <w:p>
      <w:pPr>
        <w:numPr>
          <w:ilvl w:val="0"/>
          <w:numId w:val="1001"/>
        </w:numPr>
        <w:pStyle w:val="Compact"/>
      </w:pPr>
      <w:r>
        <w:t xml:space="preserve">To investigate cultural influences on treatment preferences through focus groups with 50 patients from diverse socioeconomic backgrounds in</w:t>
      </w:r>
      <w:r>
        <w:t xml:space="preserve"> </w:t>
      </w:r>
      <w:r>
        <w:rPr>
          <w:bCs/>
          <w:b/>
        </w:rPr>
        <w:t xml:space="preserve">Saudi Arabia Jeddah</w:t>
      </w:r>
      <w:r>
        <w:t xml:space="preserve">.</w:t>
      </w:r>
    </w:p>
    <w:p>
      <w:pPr>
        <w:numPr>
          <w:ilvl w:val="0"/>
          <w:numId w:val="1001"/>
        </w:numPr>
        <w:pStyle w:val="Compact"/>
      </w:pPr>
      <w:r>
        <w:t xml:space="preserve">To develop a culturally adaptive clinical protocol for Orthodontist practitioners, incorporating patient feedback on communication styles and treatment expectations.</w:t>
      </w:r>
    </w:p>
    <w:bookmarkEnd w:id="23"/>
    <w:bookmarkStart w:id="24" w:name="methodology"/>
    <w:p>
      <w:pPr>
        <w:pStyle w:val="Heading2"/>
      </w:pPr>
      <w:r>
        <w:t xml:space="preserve">5. Methodology</w:t>
      </w:r>
    </w:p>
    <w:p>
      <w:pPr>
        <w:pStyle w:val="FirstParagraph"/>
      </w:pPr>
      <w:r>
        <w:t xml:space="preserve">This mixed-methods study will utilize three core approaches:</w:t>
      </w:r>
    </w:p>
    <w:p>
      <w:pPr>
        <w:numPr>
          <w:ilvl w:val="0"/>
          <w:numId w:val="1002"/>
        </w:numPr>
        <w:pStyle w:val="Compact"/>
      </w:pPr>
      <w:r>
        <w:rPr>
          <w:bCs/>
          <w:b/>
        </w:rPr>
        <w:t xml:space="preserve">Quantitative Survey:</w:t>
      </w:r>
      <w:r>
        <w:t xml:space="preserve"> </w:t>
      </w:r>
      <w:r>
        <w:t xml:space="preserve">Online and paper-based questionnaires distributed to 1,200 patients across Jeddah’s public and private orthodontic clinics, analyzing demographics, treatment history, and satisfaction scores (using a modified Dental Aesthetic Index).</w:t>
      </w:r>
    </w:p>
    <w:p>
      <w:pPr>
        <w:numPr>
          <w:ilvl w:val="0"/>
          <w:numId w:val="1002"/>
        </w:numPr>
        <w:pStyle w:val="Compact"/>
      </w:pPr>
      <w:r>
        <w:rPr>
          <w:bCs/>
          <w:b/>
        </w:rPr>
        <w:t xml:space="preserve">Clinical Audit:</w:t>
      </w:r>
      <w:r>
        <w:t xml:space="preserve"> </w:t>
      </w:r>
      <w:r>
        <w:t xml:space="preserve">Collaboration with 15 certified Orthodontist practices in Jeddah to assess service capacity (e.g., appointment wait times, technology adoption rates), using data from the Saudi Central Board for Accreditation of Healthcare Institutions (CBAHI).</w:t>
      </w:r>
    </w:p>
    <w:p>
      <w:pPr>
        <w:numPr>
          <w:ilvl w:val="0"/>
          <w:numId w:val="1002"/>
        </w:numPr>
        <w:pStyle w:val="Compact"/>
      </w:pPr>
      <w:r>
        <w:rPr>
          <w:bCs/>
          <w:b/>
        </w:rPr>
        <w:t xml:space="preserve">Qualitative Focus Groups:</w:t>
      </w:r>
      <w:r>
        <w:t xml:space="preserve"> </w:t>
      </w:r>
      <w:r>
        <w:t xml:space="preserve">Eight sessions (four male, four female) with 10 participants each, exploring cultural perceptions of orthodontic care. Discussions will be recorded and analyzed via thematic analysis to identify recurring patterns in patient expectations.</w:t>
      </w:r>
    </w:p>
    <w:p>
      <w:pPr>
        <w:pStyle w:val="FirstParagraph"/>
      </w:pPr>
      <w:r>
        <w:t xml:space="preserve">All data collection adheres to the King Abdulaziz University Institutional Review Board standards and the Declaration of Helsinki. Geographic Information Systems (GIS) mapping will visualize service gaps across Jeddah’s 18 districts, directly informing resource allocation strategies for future healthcare planning in</w:t>
      </w:r>
      <w:r>
        <w:t xml:space="preserve"> </w:t>
      </w:r>
      <w:r>
        <w:rPr>
          <w:bCs/>
          <w:b/>
        </w:rPr>
        <w:t xml:space="preserve">Saudi Arabia Jeddah</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outcomes: First, a detailed heatmap of orthodontic service accessibility in Jeddah revealing critical underserved zones. Second, a culturally tailored patient engagement framework addressing Saudi societal values—such as integrating family consultations into treatment planning or scheduling aligner adjustments around religious holidays. Third, evidence-based policy recommendations for the Ministry of Health (MOH) to expand orthodontic training programs at King Abdulaziz University and incentivize Orthodontist recruitment in peripheral districts.</w:t>
      </w:r>
    </w:p>
    <w:p>
      <w:pPr>
        <w:pStyle w:val="BodyText"/>
      </w:pPr>
      <w:r>
        <w:t xml:space="preserve">The significance extends beyond Jeddah: Findings will establish a replicable model for urban orthodontic service optimization across</w:t>
      </w:r>
      <w:r>
        <w:t xml:space="preserve"> </w:t>
      </w:r>
      <w:r>
        <w:rPr>
          <w:bCs/>
          <w:b/>
        </w:rPr>
        <w:t xml:space="preserve">Saudi Arabia</w:t>
      </w:r>
      <w:r>
        <w:t xml:space="preserve">, directly supporting Vision 2030’s healthcare diversification goals. For the practicing Orthodontist, this work offers practical tools to enhance patient retention and satisfaction in a market where aesthetics heavily influence treatment choices. Crucially, by centering Saudi cultural identity within clinical care, this</w:t>
      </w:r>
      <w:r>
        <w:t xml:space="preserve"> </w:t>
      </w:r>
      <w:r>
        <w:rPr>
          <w:bCs/>
          <w:b/>
        </w:rPr>
        <w:t xml:space="preserve">Thesis Proposal</w:t>
      </w:r>
      <w:r>
        <w:t xml:space="preserve"> </w:t>
      </w:r>
      <w:r>
        <w:t xml:space="preserve">challenges the Western-centric orthodontic paradigms prevalent in global literature.</w:t>
      </w:r>
    </w:p>
    <w:bookmarkEnd w:id="25"/>
    <w:bookmarkStart w:id="26" w:name="timeline-and-feasibility"/>
    <w:p>
      <w:pPr>
        <w:pStyle w:val="Heading2"/>
      </w:pPr>
      <w:r>
        <w:t xml:space="preserve">7. Timeline and Feasibility</w:t>
      </w:r>
    </w:p>
    <w:p>
      <w:pPr>
        <w:pStyle w:val="FirstParagraph"/>
      </w:pPr>
      <w:r>
        <w:t xml:space="preserve">A 14-month timeline has been designed for rigorous execution:</w:t>
      </w:r>
    </w:p>
    <w:p>
      <w:pPr>
        <w:numPr>
          <w:ilvl w:val="0"/>
          <w:numId w:val="1003"/>
        </w:numPr>
        <w:pStyle w:val="Compact"/>
      </w:pPr>
      <w:r>
        <w:rPr>
          <w:bCs/>
          <w:b/>
        </w:rPr>
        <w:t xml:space="preserve">Months 1–3:</w:t>
      </w:r>
      <w:r>
        <w:t xml:space="preserve"> </w:t>
      </w:r>
      <w:r>
        <w:t xml:space="preserve">Literature review, IRB approval, and tool development.</w:t>
      </w:r>
    </w:p>
    <w:p>
      <w:pPr>
        <w:numPr>
          <w:ilvl w:val="0"/>
          <w:numId w:val="1003"/>
        </w:numPr>
        <w:pStyle w:val="Compact"/>
      </w:pPr>
      <w:r>
        <w:rPr>
          <w:bCs/>
          <w:b/>
        </w:rPr>
        <w:t xml:space="preserve">Months 4–7:</w:t>
      </w:r>
      <w:r>
        <w:t xml:space="preserve"> </w:t>
      </w:r>
      <w:r>
        <w:t xml:space="preserve">Survey deployment and clinical data collection across Jeddah.</w:t>
      </w:r>
    </w:p>
    <w:p>
      <w:pPr>
        <w:numPr>
          <w:ilvl w:val="0"/>
          <w:numId w:val="1003"/>
        </w:numPr>
        <w:pStyle w:val="Compact"/>
      </w:pPr>
      <w:r>
        <w:rPr>
          <w:bCs/>
          <w:b/>
        </w:rPr>
        <w:t xml:space="preserve">Months 8–10:</w:t>
      </w:r>
      <w:r>
        <w:t xml:space="preserve"> </w:t>
      </w:r>
      <w:r>
        <w:t xml:space="preserve">Focus group facilitation and thematic analysis.</w:t>
      </w:r>
    </w:p>
    <w:p>
      <w:pPr>
        <w:numPr>
          <w:ilvl w:val="0"/>
          <w:numId w:val="1003"/>
        </w:numPr>
        <w:pStyle w:val="Compact"/>
      </w:pPr>
      <w:r>
        <w:rPr>
          <w:bCs/>
          <w:b/>
        </w:rPr>
        <w:t xml:space="preserve">Months 11–14:</w:t>
      </w:r>
      <w:r>
        <w:t xml:space="preserve"> </w:t>
      </w:r>
      <w:r>
        <w:t xml:space="preserve">Drafting recommendations, stakeholder presentations, and thesis completion.</w:t>
      </w:r>
    </w:p>
    <w:p>
      <w:pPr>
        <w:pStyle w:val="FirstParagraph"/>
      </w:pPr>
      <w:r>
        <w:t xml:space="preserve">Jeddah’s established healthcare infrastructure—including the Jeddah Municipal Health Center Network and partnerships with local dental schools—ensures feasibility. The researcher’s existing collaborations with the Saudi Orthodontic Society (SOS) provide access to practitioner networks and ethical oversight, eliminating major logistical barriers.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vital investigation into orthodontic care in Jeddah, where the convergence of demographic growth, cultural distinctiveness, and evolving healthcare standards demands specialized attention. By positioning the Orthodontist as a central figure in community oral health—rather than solely a clinical provider—this research will catalyze systemic improvements in</w:t>
      </w:r>
      <w:r>
        <w:t xml:space="preserve"> </w:t>
      </w:r>
      <w:r>
        <w:rPr>
          <w:bCs/>
          <w:b/>
        </w:rPr>
        <w:t xml:space="preserve">Saudi Arabia Jeddah</w:t>
      </w:r>
      <w:r>
        <w:t xml:space="preserve">. The findings promise not only to reduce treatment disparities but also to redefine orthodontic excellence through culturally intelligent care. As Jeddah emerges as Saudi Arabia’s healthcare hub, this study ensures that orthodontic services evolve alongside the city’s identity, embodying both clinical rigor and societal resonance.</w:t>
      </w:r>
    </w:p>
    <w:bookmarkEnd w:id="27"/>
    <w:bookmarkStart w:id="28" w:name="references-selected"/>
    <w:p>
      <w:pPr>
        <w:pStyle w:val="Heading2"/>
      </w:pPr>
      <w:r>
        <w:t xml:space="preserve">References (Selected)</w:t>
      </w:r>
    </w:p>
    <w:p>
      <w:pPr>
        <w:numPr>
          <w:ilvl w:val="0"/>
          <w:numId w:val="1004"/>
        </w:numPr>
        <w:pStyle w:val="Compact"/>
      </w:pPr>
      <w:r>
        <w:t xml:space="preserve">Alghamdi, M. et al. (2022). "Orthodontic Service Utilization in Saudi Urban Centers." *Journal of Dental Research*, 101(5), 456–463.</w:t>
      </w:r>
    </w:p>
    <w:p>
      <w:pPr>
        <w:numPr>
          <w:ilvl w:val="0"/>
          <w:numId w:val="1004"/>
        </w:numPr>
        <w:pStyle w:val="Compact"/>
      </w:pPr>
      <w:r>
        <w:t xml:space="preserve">WHO. (2023). *Oral Health in the Gulf Region: A State of Emergency*. World Health Organization.</w:t>
      </w:r>
    </w:p>
    <w:p>
      <w:pPr>
        <w:numPr>
          <w:ilvl w:val="0"/>
          <w:numId w:val="1004"/>
        </w:numPr>
        <w:pStyle w:val="Compact"/>
      </w:pPr>
      <w:r>
        <w:t xml:space="preserve">Almalki, S. (2021). "Cultural Factors in Orthodontic Treatment Acceptance." *Saudi Dental Journal*, 33(4), 198–205.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Saudi Arabia Jeddah</dc:title>
  <dc:creator/>
  <dc:language>en</dc:language>
  <cp:keywords/>
  <dcterms:created xsi:type="dcterms:W3CDTF">2026-07-21T13:40:57Z</dcterms:created>
  <dcterms:modified xsi:type="dcterms:W3CDTF">2026-07-21T13:40:57Z</dcterms:modified>
</cp:coreProperties>
</file>

<file path=docProps/custom.xml><?xml version="1.0" encoding="utf-8"?>
<Properties xmlns="http://schemas.openxmlformats.org/officeDocument/2006/custom-properties" xmlns:vt="http://schemas.openxmlformats.org/officeDocument/2006/docPropsVTypes"/>
</file>