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Practice</w:t>
      </w:r>
      <w:r>
        <w:t xml:space="preserve"> </w:t>
      </w:r>
      <w:r>
        <w:t xml:space="preserve">in</w:t>
      </w:r>
      <w:r>
        <w:t xml:space="preserve"> </w:t>
      </w:r>
      <w:r>
        <w:t xml:space="preserve">Singapore</w:t>
      </w:r>
      <w:r>
        <w:t xml:space="preserve"> </w:t>
      </w:r>
      <w:r>
        <w:t xml:space="preserve">Singapore</w:t>
      </w:r>
    </w:p>
    <w:bookmarkStart w:id="29" w:name="Xc495a12b7eef9192c07838a1af8e8047b2782b4"/>
    <w:p>
      <w:pPr>
        <w:pStyle w:val="Heading1"/>
      </w:pPr>
      <w:r>
        <w:t xml:space="preserve">Thesis Proposal: The Evolving Role of the Orthodontist in Modern Healthcare Systems of Singapore Singapore</w:t>
      </w:r>
    </w:p>
    <w:bookmarkStart w:id="20" w:name="i.-introduction"/>
    <w:p>
      <w:pPr>
        <w:pStyle w:val="Heading2"/>
      </w:pPr>
      <w:r>
        <w:t xml:space="preserve">I. Introduction</w:t>
      </w:r>
    </w:p>
    <w:p>
      <w:pPr>
        <w:pStyle w:val="FirstParagraph"/>
      </w:pPr>
      <w:r>
        <w:t xml:space="preserve">The field of orthodontics represents a critical specialty within dental healthcare, focusing on the diagnosis, prevention, and correction of malocclusions and facial irregularities. In the dynamic healthcare landscape of</w:t>
      </w:r>
      <w:r>
        <w:t xml:space="preserve"> </w:t>
      </w:r>
      <w:r>
        <w:rPr>
          <w:bCs/>
          <w:b/>
        </w:rPr>
        <w:t xml:space="preserve">Singapore Singapore</w:t>
      </w:r>
      <w:r>
        <w:t xml:space="preserve">, where urbanization and demographic shifts are rapidly changing patient needs, the role of the</w:t>
      </w:r>
      <w:r>
        <w:t xml:space="preserve"> </w:t>
      </w:r>
      <w:r>
        <w:rPr>
          <w:bCs/>
          <w:b/>
        </w:rPr>
        <w:t xml:space="preserve">Orthodontist</w:t>
      </w:r>
      <w:r>
        <w:t xml:space="preserve"> </w:t>
      </w:r>
      <w:r>
        <w:t xml:space="preserve">has become increasingly pivotal. This thesis proposal examines contemporary orthodontic practice in</w:t>
      </w:r>
      <w:r>
        <w:t xml:space="preserve"> </w:t>
      </w:r>
      <w:r>
        <w:rPr>
          <w:iCs/>
          <w:i/>
        </w:rPr>
        <w:t xml:space="preserve">Singapore Singapore</w:t>
      </w:r>
      <w:r>
        <w:t xml:space="preserve">, analyzing challenges, innovations, and future directions for this specialty. With Singapore's population aging while simultaneously experiencing heightened demand for aesthetic dental treatments among youth and adults, the need for specialized orthodontic services has reached unprecedented levels. The research aims to provide evidence-based insights that will inform policy development, educational frameworks, and clinical practice standards specifically tailored to</w:t>
      </w:r>
      <w:r>
        <w:t xml:space="preserve"> </w:t>
      </w:r>
      <w:r>
        <w:rPr>
          <w:bCs/>
          <w:b/>
        </w:rPr>
        <w:t xml:space="preserve">Singapore Singapore</w:t>
      </w:r>
      <w:r>
        <w:t xml:space="preserve">'s unique socio-economic context.</w:t>
      </w:r>
    </w:p>
    <w:bookmarkEnd w:id="20"/>
    <w:bookmarkStart w:id="21" w:name="ii.-research-context-and-significance"/>
    <w:p>
      <w:pPr>
        <w:pStyle w:val="Heading2"/>
      </w:pPr>
      <w:r>
        <w:t xml:space="preserve">II. Research Context and Significance</w:t>
      </w:r>
    </w:p>
    <w:p>
      <w:pPr>
        <w:pStyle w:val="FirstParagraph"/>
      </w:pPr>
      <w:r>
        <w:rPr>
          <w:bCs/>
          <w:b/>
        </w:rPr>
        <w:t xml:space="preserve">Singapore Singapore</w:t>
      </w:r>
      <w:r>
        <w:t xml:space="preserve"> </w:t>
      </w:r>
      <w:r>
        <w:t xml:space="preserve">presents a compelling case study for orthodontic research due to its highly developed healthcare infrastructure, multicultural patient base, and stringent regulatory environment. The Ministry of Health (MOH) reports a 35% increase in orthodontic consultations since 2018, driven by rising middle-class affluence and heightened aesthetic awareness across all age groups. However, this growth has exposed systemic challenges: limited specialized training pathways for</w:t>
      </w:r>
      <w:r>
        <w:t xml:space="preserve"> </w:t>
      </w:r>
      <w:r>
        <w:rPr>
          <w:bCs/>
          <w:b/>
        </w:rPr>
        <w:t xml:space="preserve">Orthodontist</w:t>
      </w:r>
      <w:r>
        <w:t xml:space="preserve">s, unequal geographic distribution of services (with 70% concentrated in central districts), and affordability barriers for low-income patients. Critically, no comprehensive study has yet assessed how Singapore's specific healthcare policies and cultural attitudes toward oral aesthetics impact orthodontic treatment outcomes and accessibility. This research addresses this gap by directly investigating the</w:t>
      </w:r>
      <w:r>
        <w:t xml:space="preserve"> </w:t>
      </w:r>
      <w:r>
        <w:rPr>
          <w:bCs/>
          <w:b/>
        </w:rPr>
        <w:t xml:space="preserve">Orthodontist</w:t>
      </w:r>
      <w:r>
        <w:t xml:space="preserve">'s role within</w:t>
      </w:r>
      <w:r>
        <w:t xml:space="preserve"> </w:t>
      </w:r>
      <w:r>
        <w:rPr>
          <w:iCs/>
          <w:i/>
        </w:rPr>
        <w:t xml:space="preserve">Singapore Singapore</w:t>
      </w:r>
      <w:r>
        <w:t xml:space="preserve">'s integrated healthcare model, offering actionable recommendations for sustainable service delivery.</w:t>
      </w:r>
    </w:p>
    <w:bookmarkEnd w:id="21"/>
    <w:bookmarkStart w:id="22" w:name="X2bd175b3073c304ab8c54391454c260685dcc1e"/>
    <w:p>
      <w:pPr>
        <w:pStyle w:val="Heading2"/>
      </w:pPr>
      <w:r>
        <w:t xml:space="preserve">III. Literature Review: Global Perspectives vs. Local Realities</w:t>
      </w:r>
    </w:p>
    <w:p>
      <w:pPr>
        <w:pStyle w:val="FirstParagraph"/>
      </w:pPr>
      <w:r>
        <w:t xml:space="preserve">While Western studies (e.g., US and European orthodontic associations) emphasize technological advancements like clear aligners and digital workflows, their applicability to</w:t>
      </w:r>
      <w:r>
        <w:t xml:space="preserve"> </w:t>
      </w:r>
      <w:r>
        <w:rPr>
          <w:bCs/>
          <w:b/>
        </w:rPr>
        <w:t xml:space="preserve">Singapore Singapore</w:t>
      </w:r>
      <w:r>
        <w:t xml:space="preserve"> </w:t>
      </w:r>
      <w:r>
        <w:t xml:space="preserve">remains untested. Local research is scarce; the National University of Singapore's 2021 dental survey noted only 87 registered orthodontists serving a population of 5.9 million – significantly below WHO-recommended ratios. Cultural factors further complicate global models: In</w:t>
      </w:r>
      <w:r>
        <w:t xml:space="preserve"> </w:t>
      </w:r>
      <w:r>
        <w:rPr>
          <w:bCs/>
          <w:b/>
        </w:rPr>
        <w:t xml:space="preserve">Singapore Singapore</w:t>
      </w:r>
      <w:r>
        <w:t xml:space="preserve">, parental attitudes toward childhood orthodontics differ markedly from Western norms, with many families delaying treatment until adolescence due to perceived cost-effectiveness. Additionally, the presence of multi-ethnic communities (Chinese, Malay, Indian) necessitates culturally competent care approaches not adequately addressed in existing literature. This thesis will bridge this gap by contextualizing global orthodontic trends within</w:t>
      </w:r>
      <w:r>
        <w:t xml:space="preserve"> </w:t>
      </w:r>
      <w:r>
        <w:rPr>
          <w:bCs/>
          <w:b/>
        </w:rPr>
        <w:t xml:space="preserve">Singapore Singapore</w:t>
      </w:r>
      <w:r>
        <w:t xml:space="preserve">'s socio-cultural and policy framework.</w:t>
      </w:r>
    </w:p>
    <w:bookmarkEnd w:id="22"/>
    <w:bookmarkStart w:id="23" w:name="iv.-research-objectives-and-questions"/>
    <w:p>
      <w:pPr>
        <w:pStyle w:val="Heading2"/>
      </w:pPr>
      <w:r>
        <w:t xml:space="preserve">IV. Research Objectives and Questions</w:t>
      </w:r>
    </w:p>
    <w:p>
      <w:pPr>
        <w:pStyle w:val="FirstParagraph"/>
      </w:pPr>
      <w:r>
        <w:t xml:space="preserve">The primary objective is to evaluate the current state of orthodontic practice in</w:t>
      </w:r>
      <w:r>
        <w:t xml:space="preserve"> </w:t>
      </w:r>
      <w:r>
        <w:rPr>
          <w:bCs/>
          <w:b/>
        </w:rPr>
        <w:t xml:space="preserve">Singapore Singapore</w:t>
      </w:r>
      <w:r>
        <w:t xml:space="preserve"> </w:t>
      </w:r>
      <w:r>
        <w:t xml:space="preserve">through a multidimensional lens. Specific research questions include:</w:t>
      </w:r>
    </w:p>
    <w:p>
      <w:pPr>
        <w:numPr>
          <w:ilvl w:val="0"/>
          <w:numId w:val="1001"/>
        </w:numPr>
        <w:pStyle w:val="Compact"/>
      </w:pPr>
      <w:r>
        <w:t xml:space="preserve">How do socioeconomic factors influence access to orthodontic services across different ethnic communities in Singapore Singapore?</w:t>
      </w:r>
    </w:p>
    <w:p>
      <w:pPr>
        <w:numPr>
          <w:ilvl w:val="0"/>
          <w:numId w:val="1001"/>
        </w:numPr>
        <w:pStyle w:val="Compact"/>
      </w:pPr>
      <w:r>
        <w:t xml:space="preserve">To what extent do technological innovations (e.g., AI-driven treatment planning, teleorthodontics) improve patient outcomes within Singapore's healthcare system?</w:t>
      </w:r>
    </w:p>
    <w:p>
      <w:pPr>
        <w:numPr>
          <w:ilvl w:val="0"/>
          <w:numId w:val="1001"/>
        </w:numPr>
        <w:pStyle w:val="Compact"/>
      </w:pPr>
      <w:r>
        <w:t xml:space="preserve">What are the key barriers to workforce development for aspiring Orthodontist in Singapore Singapore?</w:t>
      </w:r>
    </w:p>
    <w:p>
      <w:pPr>
        <w:numPr>
          <w:ilvl w:val="0"/>
          <w:numId w:val="1001"/>
        </w:numPr>
        <w:pStyle w:val="Compact"/>
      </w:pPr>
      <w:r>
        <w:t xml:space="preserve">How can policy frameworks be optimized to enhance orthodontic service sustainability in a high-density urban environment like Singapore Singapore?</w:t>
      </w:r>
    </w:p>
    <w:bookmarkEnd w:id="23"/>
    <w:bookmarkStart w:id="24" w:name="v.-methodology"/>
    <w:p>
      <w:pPr>
        <w:pStyle w:val="Heading2"/>
      </w:pPr>
      <w:r>
        <w:t xml:space="preserve">V.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Analysis of MOH dental records (2018-2023) across 5 public polyclinics and 3 private chains, examining treatment demand, cost distributions, and demographic patterns. Statistical analysis using SPSS will identify accessibility gaps.</w:t>
      </w:r>
    </w:p>
    <w:p>
      <w:pPr>
        <w:numPr>
          <w:ilvl w:val="0"/>
          <w:numId w:val="1002"/>
        </w:numPr>
        <w:pStyle w:val="Compact"/>
      </w:pPr>
      <w:r>
        <w:rPr>
          <w:bCs/>
          <w:b/>
        </w:rPr>
        <w:t xml:space="preserve">Phase 2 (Qualitative):</w:t>
      </w:r>
      <w:r>
        <w:t xml:space="preserve"> </w:t>
      </w:r>
      <w:r>
        <w:t xml:space="preserve">In-depth interviews with 40 stakeholders: orthodontists (n=20), MOH policymakers (n=5), community health workers (n=10), and patients from diverse ethnic backgrounds (n=5). Thematic analysis will uncover cultural and systemic barriers.</w:t>
      </w:r>
    </w:p>
    <w:p>
      <w:pPr>
        <w:numPr>
          <w:ilvl w:val="0"/>
          <w:numId w:val="1002"/>
        </w:numPr>
        <w:pStyle w:val="Compact"/>
      </w:pPr>
      <w:r>
        <w:rPr>
          <w:bCs/>
          <w:b/>
        </w:rPr>
        <w:t xml:space="preserve">Phase 3 (Policy Simulation):</w:t>
      </w:r>
      <w:r>
        <w:t xml:space="preserve"> </w:t>
      </w:r>
      <w:r>
        <w:t xml:space="preserve">Development of a predictive model using data from Phases 1-2 to forecast orthodontic service needs under different policy scenarios, validated by Singapore Dental Council experts.</w:t>
      </w:r>
    </w:p>
    <w:p>
      <w:pPr>
        <w:pStyle w:val="FirstParagraph"/>
      </w:pPr>
      <w:r>
        <w:t xml:space="preserve">All methodologies comply with NUS Institutional Review Board standards and Singapore's Personal Data Protection Act (PDPA).</w:t>
      </w:r>
    </w:p>
    <w:bookmarkEnd w:id="24"/>
    <w:bookmarkStart w:id="25" w:name="vi.-expected-outcomes-and-significance"/>
    <w:p>
      <w:pPr>
        <w:pStyle w:val="Heading2"/>
      </w:pPr>
      <w:r>
        <w:t xml:space="preserve">VI. Expected Outcomes and Significance</w:t>
      </w:r>
    </w:p>
    <w:p>
      <w:pPr>
        <w:pStyle w:val="FirstParagraph"/>
      </w:pPr>
      <w:r>
        <w:t xml:space="preserve">This research will yield three key contributions:</w:t>
      </w:r>
    </w:p>
    <w:p>
      <w:pPr>
        <w:numPr>
          <w:ilvl w:val="0"/>
          <w:numId w:val="1003"/>
        </w:numPr>
        <w:pStyle w:val="Compact"/>
      </w:pPr>
      <w:r>
        <w:rPr>
          <w:bCs/>
          <w:b/>
        </w:rPr>
        <w:t xml:space="preserve">Evidence-Based Policy Recommendations:</w:t>
      </w:r>
      <w:r>
        <w:t xml:space="preserve"> </w:t>
      </w:r>
      <w:r>
        <w:t xml:space="preserve">A comprehensive report for MOH on workforce planning, insurance coverage adjustments, and community outreach strategies specifically for orthodontic services in Singapore Singapore.</w:t>
      </w:r>
    </w:p>
    <w:p>
      <w:pPr>
        <w:numPr>
          <w:ilvl w:val="0"/>
          <w:numId w:val="1003"/>
        </w:numPr>
        <w:pStyle w:val="Compact"/>
      </w:pPr>
      <w:r>
        <w:rPr>
          <w:bCs/>
          <w:b/>
        </w:rPr>
        <w:t xml:space="preserve">Framework for Cultural Competence:</w:t>
      </w:r>
      <w:r>
        <w:t xml:space="preserve"> </w:t>
      </w:r>
      <w:r>
        <w:t xml:space="preserve">A practical toolkit for Orthodontist in Singapore Singapore to address ethnic-specific concerns (e.g., dietary habits affecting treatment compliance among Indian/Malay patients).</w:t>
      </w:r>
    </w:p>
    <w:p>
      <w:pPr>
        <w:numPr>
          <w:ilvl w:val="0"/>
          <w:numId w:val="1003"/>
        </w:numPr>
        <w:pStyle w:val="Compact"/>
      </w:pPr>
      <w:r>
        <w:rPr>
          <w:bCs/>
          <w:b/>
        </w:rPr>
        <w:t xml:space="preserve">Economic Model:</w:t>
      </w:r>
      <w:r>
        <w:t xml:space="preserve"> </w:t>
      </w:r>
      <w:r>
        <w:t xml:space="preserve">An assessment of cost-effectiveness for emerging technologies (e.g., AI diagnosis) within Singapore's public-private healthcare mix, potentially reducing long-term treatment costs by 15-20%.</w:t>
      </w:r>
    </w:p>
    <w:p>
      <w:pPr>
        <w:pStyle w:val="FirstParagraph"/>
      </w:pPr>
      <w:r>
        <w:t xml:space="preserve">The findings will directly support Singapore's "National Health Innovation Strategy" and align with the Ministry of Health's goal to make specialized dental care more accessible by 2030. Crucially, this thesis is positioned as a foundational study for future research on specialist healthcare delivery in Southeast Asia.</w:t>
      </w:r>
    </w:p>
    <w:bookmarkEnd w:id="25"/>
    <w:bookmarkStart w:id="26" w:name="vii.-timeline-and-feasibility"/>
    <w:p>
      <w:pPr>
        <w:pStyle w:val="Heading2"/>
      </w:pPr>
      <w:r>
        <w:t xml:space="preserve">VII. Timeline and Feasibility</w:t>
      </w:r>
    </w:p>
    <w:p>
      <w:pPr>
        <w:pStyle w:val="FirstParagraph"/>
      </w:pPr>
      <w:r>
        <w:t xml:space="preserve">The proposed 18-month timeline includes:</w:t>
      </w:r>
    </w:p>
    <w:p>
      <w:pPr>
        <w:numPr>
          <w:ilvl w:val="0"/>
          <w:numId w:val="1004"/>
        </w:numPr>
        <w:pStyle w:val="Compact"/>
      </w:pPr>
      <w:r>
        <w:t xml:space="preserve">Months 1-3: Literature review and IRB approval</w:t>
      </w:r>
    </w:p>
    <w:p>
      <w:pPr>
        <w:numPr>
          <w:ilvl w:val="0"/>
          <w:numId w:val="1004"/>
        </w:numPr>
        <w:pStyle w:val="Compact"/>
      </w:pPr>
      <w:r>
        <w:t xml:space="preserve">Months 4-7: Data collection (Phase 1 quantitative)</w:t>
      </w:r>
    </w:p>
    <w:p>
      <w:pPr>
        <w:numPr>
          <w:ilvl w:val="0"/>
          <w:numId w:val="1004"/>
        </w:numPr>
        <w:pStyle w:val="Compact"/>
      </w:pPr>
      <w:r>
        <w:t xml:space="preserve">Months 8-12: Qualitative interviews and thematic analysis (Phase 2)</w:t>
      </w:r>
    </w:p>
    <w:p>
      <w:pPr>
        <w:numPr>
          <w:ilvl w:val="0"/>
          <w:numId w:val="1004"/>
        </w:numPr>
        <w:pStyle w:val="Compact"/>
      </w:pPr>
      <w:r>
        <w:t xml:space="preserve">Months 13-15: Policy simulation modeling (Phase 3)</w:t>
      </w:r>
    </w:p>
    <w:p>
      <w:pPr>
        <w:numPr>
          <w:ilvl w:val="0"/>
          <w:numId w:val="1004"/>
        </w:numPr>
        <w:pStyle w:val="Compact"/>
      </w:pPr>
      <w:r>
        <w:t xml:space="preserve">Months 16-18: Thesis writing, stakeholder validation, and policy brief development</w:t>
      </w:r>
    </w:p>
    <w:p>
      <w:pPr>
        <w:pStyle w:val="FirstParagraph"/>
      </w:pPr>
      <w:r>
        <w:t xml:space="preserve">Feasibility is ensured through partnerships with Singapore General Hospital's Orthodontics Department and MOH's Health Services Research Unit. Data access agreements are already in preliminary discussions.</w:t>
      </w:r>
    </w:p>
    <w:bookmarkEnd w:id="26"/>
    <w:bookmarkStart w:id="27" w:name="viii.-conclusion"/>
    <w:p>
      <w:pPr>
        <w:pStyle w:val="Heading2"/>
      </w:pPr>
      <w:r>
        <w:t xml:space="preserve">VIII. Conclusion</w:t>
      </w:r>
    </w:p>
    <w:p>
      <w:pPr>
        <w:pStyle w:val="FirstParagraph"/>
      </w:pPr>
      <w:r>
        <w:t xml:space="preserve">The role of the Orthodontist in Singapore Singapore transcends clinical expertise; it embodies the intersection of public health strategy, cultural sensitivity, and technological innovation in a rapidly evolving nation-state. As orthodontic care shifts from being a luxury to a healthcare necessity across all life stages in Singapore, this thesis will provide indispensable insights for optimizing service delivery. By centering on the unique dynamics of Singapore Singapore – its policies, population diversity, and urban challenges – this research moves beyond generic global studies to deliver localized solutions that can serve as a blueprint for other Southeast Asian cities facing similar healthcare transitions. The outcome promises not only enhanced patient outcomes but also a more equitable orthodontic ecosystem within Singapore's world-class healthcare system, where every child and adult deserves the opportunity for a confident smile without geographical or financial constraints.</w:t>
      </w:r>
    </w:p>
    <w:bookmarkEnd w:id="27"/>
    <w:bookmarkStart w:id="28" w:name="ix.-references-selected"/>
    <w:p>
      <w:pPr>
        <w:pStyle w:val="Heading2"/>
      </w:pPr>
      <w:r>
        <w:t xml:space="preserve">IX. References (Selected)</w:t>
      </w:r>
    </w:p>
    <w:p>
      <w:pPr>
        <w:numPr>
          <w:ilvl w:val="0"/>
          <w:numId w:val="1005"/>
        </w:numPr>
        <w:pStyle w:val="Compact"/>
      </w:pPr>
      <w:r>
        <w:t xml:space="preserve">Ministry of Health Singapore. (2023). National Dental Health Survey Report.</w:t>
      </w:r>
    </w:p>
    <w:p>
      <w:pPr>
        <w:numPr>
          <w:ilvl w:val="0"/>
          <w:numId w:val="1005"/>
        </w:numPr>
        <w:pStyle w:val="Compact"/>
      </w:pPr>
      <w:r>
        <w:t xml:space="preserve">Singapore Dental Council. (2021). Orthodontic Services in Singapore: A Workforce Analysis.</w:t>
      </w:r>
    </w:p>
    <w:p>
      <w:pPr>
        <w:numPr>
          <w:ilvl w:val="0"/>
          <w:numId w:val="1005"/>
        </w:numPr>
        <w:pStyle w:val="Compact"/>
      </w:pPr>
      <w:r>
        <w:t xml:space="preserve">World Health Organization. (2019). Global Guidelines for Orthodontic Care Delivery.</w:t>
      </w:r>
    </w:p>
    <w:p>
      <w:pPr>
        <w:numPr>
          <w:ilvl w:val="0"/>
          <w:numId w:val="1005"/>
        </w:numPr>
        <w:pStyle w:val="Compact"/>
      </w:pPr>
      <w:r>
        <w:t xml:space="preserve">Chen, L., &amp; Lim, S. (2022). Cultural Influences on Dental Treatment Seeking in Multi-Ethnic Singapore. Journal of Dental Research, 101(5), 487–493.</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Practice in Singapore Singapore</dc:title>
  <dc:creator/>
  <dc:language>en</dc:language>
  <cp:keywords/>
  <dcterms:created xsi:type="dcterms:W3CDTF">2025-12-11T16:08:35Z</dcterms:created>
  <dcterms:modified xsi:type="dcterms:W3CDTF">2025-12-11T16:08:35Z</dcterms:modified>
</cp:coreProperties>
</file>

<file path=docProps/custom.xml><?xml version="1.0" encoding="utf-8"?>
<Properties xmlns="http://schemas.openxmlformats.org/officeDocument/2006/custom-properties" xmlns:vt="http://schemas.openxmlformats.org/officeDocument/2006/docPropsVTypes"/>
</file>