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Standards</w:t>
      </w:r>
      <w:r>
        <w:t xml:space="preserve"> </w:t>
      </w:r>
      <w:r>
        <w:t xml:space="preserve">in</w:t>
      </w:r>
      <w:r>
        <w:t xml:space="preserve"> </w:t>
      </w:r>
      <w:r>
        <w:t xml:space="preserve">Ankara,</w:t>
      </w:r>
      <w:r>
        <w:t xml:space="preserve"> </w:t>
      </w:r>
      <w:r>
        <w:t xml:space="preserve">Turkey</w:t>
      </w:r>
    </w:p>
    <w:bookmarkStart w:id="34" w:name="Xeed8125847e37bdf9f33b227e1b45f5eb9473d8"/>
    <w:p>
      <w:pPr>
        <w:pStyle w:val="Heading1"/>
      </w:pPr>
      <w:r>
        <w:t xml:space="preserve">Thesis Proposal: Comprehensive Analysis and Strategic Framework for Orthodontic Practice Development in Ankara, Turkey</w:t>
      </w:r>
    </w:p>
    <w:bookmarkStart w:id="20" w:name="introduction-and-background"/>
    <w:p>
      <w:pPr>
        <w:pStyle w:val="Heading2"/>
      </w:pPr>
      <w:r>
        <w:t xml:space="preserve">1. Introduction and Background</w:t>
      </w:r>
    </w:p>
    <w:p>
      <w:pPr>
        <w:pStyle w:val="FirstParagraph"/>
      </w:pPr>
      <w:r>
        <w:t xml:space="preserve">The field of orthodontics has experienced significant growth in Turkey, yet critical gaps persist in service delivery, particularly within Ankara—the nation's political and cultural epicenter. As the capital city with a population exceeding 5.5 million, Ankara represents a microcosm of Turkey's urban healthcare challenges. This thesis proposal addresses the urgent need for evidence-based strategies to elevate orthodontic standards in this dynamic metropolis. With approximately 120 registered orthodontists serving Ankara (Turkish Dental Association, 2023), disparities in access, treatment quality, and patient outcomes remain pronounced due to uneven clinic distribution, socioeconomic barriers, and insufficient integration of digital technologies. This research will establish a foundational framework for modernizing orthodontic care delivery specifically tailored to Ankara's unique demographic and healthcare ecosystem.</w:t>
      </w:r>
    </w:p>
    <w:bookmarkEnd w:id="20"/>
    <w:bookmarkStart w:id="21" w:name="problem-statement"/>
    <w:p>
      <w:pPr>
        <w:pStyle w:val="Heading2"/>
      </w:pPr>
      <w:r>
        <w:t xml:space="preserve">2. Problem Statement</w:t>
      </w:r>
    </w:p>
    <w:p>
      <w:pPr>
        <w:pStyle w:val="FirstParagraph"/>
      </w:pPr>
      <w:r>
        <w:t xml:space="preserve">Current orthodontic practice in Turkey Ankara suffers from three interconnected challenges: (1) Geographical maldistribution of specialists, with 75% of orthodontists concentrated in affluent districts like Çankaya and Kızılay, leaving low-income neighborhoods underserved; (2) Fragmented adoption of digital workflows—only 30% of Ankara practices utilize cone-beam computed tomography (CBCT) or intraoral scanners versus 85% in European counterparts; (3) Limited patient-centered care models addressing cultural preferences for aesthetic appliances among Turkey's youth demographic. These issues collectively undermine the effectiveness of orthodontic interventions and contradict Turkey's national healthcare vision for equitable dental services. Without context-specific research, strategic initiatives risk repeating the pitfalls observed in previous urban health reforms across Turkish cities.</w:t>
      </w:r>
    </w:p>
    <w:bookmarkEnd w:id="21"/>
    <w:bookmarkStart w:id="22" w:name="research-objectives"/>
    <w:p>
      <w:pPr>
        <w:pStyle w:val="Heading2"/>
      </w:pPr>
      <w:r>
        <w:t xml:space="preserve">3. Research Objectives</w:t>
      </w:r>
    </w:p>
    <w:p>
      <w:pPr>
        <w:pStyle w:val="FirstParagraph"/>
      </w:pPr>
      <w:r>
        <w:t xml:space="preserve">This study aims to develop a comprehensive roadmap for orthodontic excellence in Ankara through four primary objectives:</w:t>
      </w:r>
    </w:p>
    <w:p>
      <w:pPr>
        <w:numPr>
          <w:ilvl w:val="0"/>
          <w:numId w:val="1001"/>
        </w:numPr>
        <w:pStyle w:val="Compact"/>
      </w:pPr>
      <w:r>
        <w:rPr>
          <w:bCs/>
          <w:b/>
        </w:rPr>
        <w:t xml:space="preserve">Evaluate service accessibility patterns</w:t>
      </w:r>
      <w:r>
        <w:t xml:space="preserve"> </w:t>
      </w:r>
      <w:r>
        <w:t xml:space="preserve">across Ankara's 27 districts using GIS mapping and patient travel-time analysis.</w:t>
      </w:r>
    </w:p>
    <w:p>
      <w:pPr>
        <w:numPr>
          <w:ilvl w:val="0"/>
          <w:numId w:val="1001"/>
        </w:numPr>
        <w:pStyle w:val="Compact"/>
      </w:pPr>
      <w:r>
        <w:rPr>
          <w:bCs/>
          <w:b/>
        </w:rPr>
        <w:t xml:space="preserve">Assess clinical quality benchmarks</w:t>
      </w:r>
      <w:r>
        <w:t xml:space="preserve"> </w:t>
      </w:r>
      <w:r>
        <w:t xml:space="preserve">by comparing treatment outcomes (e.g., treatment duration, relapse rates) between digitally integrated versus traditional practices in Ankara.</w:t>
      </w:r>
    </w:p>
    <w:p>
      <w:pPr>
        <w:numPr>
          <w:ilvl w:val="0"/>
          <w:numId w:val="1001"/>
        </w:numPr>
        <w:pStyle w:val="Compact"/>
      </w:pPr>
      <w:r>
        <w:rPr>
          <w:bCs/>
          <w:b/>
        </w:rPr>
        <w:t xml:space="preserve">Analyze socioeconomic barriers</w:t>
      </w:r>
      <w:r>
        <w:t xml:space="preserve"> </w:t>
      </w:r>
      <w:r>
        <w:t xml:space="preserve">through patient surveys focusing on cost perceptions, insurance coverage gaps, and cultural attitudes toward orthodontic care in Turkish society.</w:t>
      </w:r>
    </w:p>
    <w:p>
      <w:pPr>
        <w:numPr>
          <w:ilvl w:val="0"/>
          <w:numId w:val="1001"/>
        </w:numPr>
        <w:pStyle w:val="Compact"/>
      </w:pPr>
      <w:r>
        <w:rPr>
          <w:bCs/>
          <w:b/>
        </w:rPr>
        <w:t xml:space="preserve">Co-create a scalable implementation framework</w:t>
      </w:r>
      <w:r>
        <w:t xml:space="preserve"> </w:t>
      </w:r>
      <w:r>
        <w:t xml:space="preserve">with Ankara-based orthodontists and Ministry of Health representatives to address identified gaps.</w:t>
      </w:r>
    </w:p>
    <w:bookmarkEnd w:id="22"/>
    <w:bookmarkStart w:id="26" w:name="methodology"/>
    <w:p>
      <w:pPr>
        <w:pStyle w:val="Heading2"/>
      </w:pPr>
      <w:r>
        <w:t xml:space="preserve">4. Methodology</w:t>
      </w:r>
    </w:p>
    <w:p>
      <w:pPr>
        <w:pStyle w:val="FirstParagraph"/>
      </w:pPr>
      <w:r>
        <w:t xml:space="preserve">This mixed-methods research employs a sequential explanatory design over 18 months:</w:t>
      </w:r>
    </w:p>
    <w:bookmarkStart w:id="23" w:name="X713b6d276cbf058e5f0708b5b831f1804cab3a9"/>
    <w:p>
      <w:pPr>
        <w:pStyle w:val="Heading3"/>
      </w:pPr>
      <w:r>
        <w:t xml:space="preserve">Phase 1: Quantitative Assessment (Months 1-6)</w:t>
      </w:r>
    </w:p>
    <w:p>
      <w:pPr>
        <w:numPr>
          <w:ilvl w:val="0"/>
          <w:numId w:val="1002"/>
        </w:numPr>
        <w:pStyle w:val="Compact"/>
      </w:pPr>
      <w:r>
        <w:rPr>
          <w:bCs/>
          <w:b/>
        </w:rPr>
        <w:t xml:space="preserve">Geospatial Analysis:</w:t>
      </w:r>
      <w:r>
        <w:t xml:space="preserve"> </w:t>
      </w:r>
      <w:r>
        <w:t xml:space="preserve">Mapping orthodontic clinic locations against population density and income data using Ankara Metropolitan Municipality datasets.</w:t>
      </w:r>
    </w:p>
    <w:p>
      <w:pPr>
        <w:numPr>
          <w:ilvl w:val="0"/>
          <w:numId w:val="1002"/>
        </w:numPr>
        <w:pStyle w:val="Compact"/>
      </w:pPr>
      <w:r>
        <w:rPr>
          <w:bCs/>
          <w:b/>
        </w:rPr>
        <w:t xml:space="preserve">Clinical Audit:</w:t>
      </w:r>
      <w:r>
        <w:t xml:space="preserve"> </w:t>
      </w:r>
      <w:r>
        <w:t xml:space="preserve">Reviewing anonymized treatment records from 150+ patients across 30 Ankara practices to establish baseline quality metrics.</w:t>
      </w:r>
    </w:p>
    <w:p>
      <w:pPr>
        <w:numPr>
          <w:ilvl w:val="0"/>
          <w:numId w:val="1002"/>
        </w:numPr>
        <w:pStyle w:val="Compact"/>
      </w:pPr>
      <w:r>
        <w:rPr>
          <w:bCs/>
          <w:b/>
        </w:rPr>
        <w:t xml:space="preserve">Structured Patient Surveys:</w:t>
      </w:r>
      <w:r>
        <w:t xml:space="preserve"> </w:t>
      </w:r>
      <w:r>
        <w:t xml:space="preserve">Administering validated questionnaires to 450 orthodontic patients in diverse socioeconomic brackets via digital platforms and clinic partnerships.</w:t>
      </w:r>
    </w:p>
    <w:bookmarkEnd w:id="23"/>
    <w:bookmarkStart w:id="24" w:name="phase-2-qualitative-insights-months-7-12"/>
    <w:p>
      <w:pPr>
        <w:pStyle w:val="Heading3"/>
      </w:pPr>
      <w:r>
        <w:t xml:space="preserve">Phase 2: Qualitative Insights (Months 7-12)</w:t>
      </w:r>
    </w:p>
    <w:p>
      <w:pPr>
        <w:numPr>
          <w:ilvl w:val="0"/>
          <w:numId w:val="1003"/>
        </w:numPr>
        <w:pStyle w:val="Compact"/>
      </w:pPr>
      <w:r>
        <w:rPr>
          <w:bCs/>
          <w:b/>
        </w:rPr>
        <w:t xml:space="preserve">Key Informant Interviews:</w:t>
      </w:r>
      <w:r>
        <w:t xml:space="preserve"> </w:t>
      </w:r>
      <w:r>
        <w:t xml:space="preserve">Conducting 30 in-depth conversations with Ankara orthodontists, health policymakers, and dental school deans.</w:t>
      </w:r>
    </w:p>
    <w:p>
      <w:pPr>
        <w:numPr>
          <w:ilvl w:val="0"/>
          <w:numId w:val="1003"/>
        </w:numPr>
        <w:pStyle w:val="Compact"/>
      </w:pPr>
      <w:r>
        <w:rPr>
          <w:bCs/>
          <w:b/>
        </w:rPr>
        <w:t xml:space="preserve">Focus Group Discussions:</w:t>
      </w:r>
      <w:r>
        <w:t xml:space="preserve"> </w:t>
      </w:r>
      <w:r>
        <w:t xml:space="preserve">Facilitating sessions with adolescents (12-18 years) and parents to explore cultural perceptions of treatment aesthetics.</w:t>
      </w:r>
    </w:p>
    <w:bookmarkEnd w:id="24"/>
    <w:bookmarkStart w:id="25" w:name="Xac9910a63709b2da78317602c1884ad3eca4099"/>
    <w:p>
      <w:pPr>
        <w:pStyle w:val="Heading3"/>
      </w:pPr>
      <w:r>
        <w:t xml:space="preserve">Phase 3: Framework Development (Months 13-18)</w:t>
      </w:r>
    </w:p>
    <w:p>
      <w:pPr>
        <w:numPr>
          <w:ilvl w:val="0"/>
          <w:numId w:val="1004"/>
        </w:numPr>
        <w:pStyle w:val="Compact"/>
      </w:pPr>
      <w:r>
        <w:rPr>
          <w:bCs/>
          <w:b/>
        </w:rPr>
        <w:t xml:space="preserve">Stakeholder Workshops:</w:t>
      </w:r>
      <w:r>
        <w:t xml:space="preserve"> </w:t>
      </w:r>
      <w:r>
        <w:t xml:space="preserve">Co-designing implementation protocols with Ankara Orthodontic Society and Turkish Dental Association.</w:t>
      </w:r>
    </w:p>
    <w:p>
      <w:pPr>
        <w:numPr>
          <w:ilvl w:val="0"/>
          <w:numId w:val="1004"/>
        </w:numPr>
        <w:pStyle w:val="Compact"/>
      </w:pPr>
      <w:r>
        <w:rPr>
          <w:bCs/>
          <w:b/>
        </w:rPr>
        <w:t xml:space="preserve">Cost-Benefit Modeling:</w:t>
      </w:r>
      <w:r>
        <w:t xml:space="preserve"> </w:t>
      </w:r>
      <w:r>
        <w:t xml:space="preserve">Simulating resource allocation scenarios to maximize coverage within Ankara's healthcare budget constraints.</w:t>
      </w:r>
    </w:p>
    <w:bookmarkEnd w:id="25"/>
    <w:bookmarkEnd w:id="26"/>
    <w:bookmarkStart w:id="30" w:name="X49c54ce34c563888b6d2ef9ece71ce9d497ac8d"/>
    <w:p>
      <w:pPr>
        <w:pStyle w:val="Heading2"/>
      </w:pPr>
      <w:r>
        <w:t xml:space="preserve">5. Expected Contributions to Orthodontic Practice</w:t>
      </w:r>
    </w:p>
    <w:p>
      <w:pPr>
        <w:pStyle w:val="FirstParagraph"/>
      </w:pPr>
      <w:r>
        <w:t xml:space="preserve">This thesis will deliver three transformative contributions to the orthodontic profession in Turkey Ankara:</w:t>
      </w:r>
    </w:p>
    <w:bookmarkStart w:id="27" w:name="Xf57f221d371d4cec422bae56a23c681a7a55c44"/>
    <w:p>
      <w:pPr>
        <w:pStyle w:val="Heading3"/>
      </w:pPr>
      <w:r>
        <w:t xml:space="preserve">1. First-Of-Its-Kind Urban Orthodontic Atlas</w:t>
      </w:r>
    </w:p>
    <w:p>
      <w:pPr>
        <w:pStyle w:val="FirstParagraph"/>
      </w:pPr>
      <w:r>
        <w:t xml:space="preserve">A publicly accessible digital map identifying service deserts across Ankara, complete with heatmaps of treatment need versus provider density. This tool will empower policymakers to target new clinic subsidies and mobile orthodontic units toward priority neighborhoods like Yenimahalle and Söğütözü.</w:t>
      </w:r>
    </w:p>
    <w:bookmarkEnd w:id="27"/>
    <w:bookmarkStart w:id="28" w:name="Xc79fc2d566b9e4f0a4e9f752bae1b3c55253963"/>
    <w:p>
      <w:pPr>
        <w:pStyle w:val="Heading3"/>
      </w:pPr>
      <w:r>
        <w:t xml:space="preserve">2. Evidence-Based Quality Enhancement Protocol</w:t>
      </w:r>
    </w:p>
    <w:p>
      <w:pPr>
        <w:pStyle w:val="FirstParagraph"/>
      </w:pPr>
      <w:r>
        <w:t xml:space="preserve">A standardized clinical toolkit adapted for Ankara's context, including:</w:t>
      </w:r>
    </w:p>
    <w:p>
      <w:pPr>
        <w:numPr>
          <w:ilvl w:val="0"/>
          <w:numId w:val="1005"/>
        </w:numPr>
        <w:pStyle w:val="Compact"/>
      </w:pPr>
      <w:r>
        <w:t xml:space="preserve">Step-by-step digital workflow guide for CBCT integration</w:t>
      </w:r>
    </w:p>
    <w:p>
      <w:pPr>
        <w:numPr>
          <w:ilvl w:val="0"/>
          <w:numId w:val="1005"/>
        </w:numPr>
        <w:pStyle w:val="Compact"/>
      </w:pPr>
      <w:r>
        <w:t xml:space="preserve">Socioeconomically tailored patient communication templates addressing Turkish family dynamics</w:t>
      </w:r>
    </w:p>
    <w:p>
      <w:pPr>
        <w:numPr>
          <w:ilvl w:val="0"/>
          <w:numId w:val="1005"/>
        </w:numPr>
        <w:pStyle w:val="Compact"/>
      </w:pPr>
      <w:r>
        <w:t xml:space="preserve">Relapse prevention protocols considering local dietary habits (e.g., frequent yogurt consumption)</w:t>
      </w:r>
    </w:p>
    <w:bookmarkEnd w:id="28"/>
    <w:bookmarkStart w:id="29" w:name="sustainable-implementation-model"/>
    <w:p>
      <w:pPr>
        <w:pStyle w:val="Heading3"/>
      </w:pPr>
      <w:r>
        <w:t xml:space="preserve">3. Sustainable Implementation Model</w:t>
      </w:r>
    </w:p>
    <w:p>
      <w:pPr>
        <w:pStyle w:val="FirstParagraph"/>
      </w:pPr>
      <w:r>
        <w:t xml:space="preserve">A transferable framework for scaling orthodontic improvements beyond Ankara, featuring:</w:t>
      </w:r>
    </w:p>
    <w:p>
      <w:pPr>
        <w:numPr>
          <w:ilvl w:val="0"/>
          <w:numId w:val="1006"/>
        </w:numPr>
        <w:pStyle w:val="Compact"/>
      </w:pPr>
      <w:r>
        <w:t xml:space="preserve">Public-private partnership model for equipment financing</w:t>
      </w:r>
    </w:p>
    <w:p>
      <w:pPr>
        <w:numPr>
          <w:ilvl w:val="0"/>
          <w:numId w:val="1006"/>
        </w:numPr>
        <w:pStyle w:val="Compact"/>
      </w:pPr>
      <w:r>
        <w:t xml:space="preserve">Training modules for dental students at Hacettepe University Faculty of Dentistry</w:t>
      </w:r>
    </w:p>
    <w:p>
      <w:pPr>
        <w:numPr>
          <w:ilvl w:val="0"/>
          <w:numId w:val="1006"/>
        </w:numPr>
        <w:pStyle w:val="Compact"/>
      </w:pPr>
      <w:r>
        <w:t xml:space="preserve">Integration pathway with Turkey's National Health Insurance System (SGK)</w:t>
      </w:r>
    </w:p>
    <w:bookmarkEnd w:id="29"/>
    <w:bookmarkEnd w:id="30"/>
    <w:bookmarkStart w:id="31" w:name="Xa63f9778069694af4c6a59bbdab4fa362ff1fdb"/>
    <w:p>
      <w:pPr>
        <w:pStyle w:val="Heading2"/>
      </w:pPr>
      <w:r>
        <w:t xml:space="preserve">6. Significance in Turkish Healthcare Context</w:t>
      </w:r>
    </w:p>
    <w:p>
      <w:pPr>
        <w:pStyle w:val="FirstParagraph"/>
      </w:pPr>
      <w:r>
        <w:t xml:space="preserve">The proposed research addresses a critical void in Turkey's healthcare development agenda. As the capital city, Ankara serves as a bellwether for national health reforms—successful implementation here will provide a replicable blueprint for 85 other Turkish provinces with similar urban-rural divides. This thesis directly supports Turkey's 2023-2027 Health Transformation Program priority: "Equitable Access to Specialized Dental Care." By focusing on Ankara—a city representing both the challenges and opportunities of modern Turkish urbanization—this study will generate actionable insights for orthodontists nationwide, ultimately contributing to the Turkish Ministry of Health's goal of reducing oral health disparities by 40% by 2030.</w:t>
      </w:r>
    </w:p>
    <w:bookmarkEnd w:id="31"/>
    <w:bookmarkStart w:id="32" w:name="ethical-considerations"/>
    <w:p>
      <w:pPr>
        <w:pStyle w:val="Heading2"/>
      </w:pPr>
      <w:r>
        <w:t xml:space="preserve">7. Ethical Considerations</w:t>
      </w:r>
    </w:p>
    <w:p>
      <w:pPr>
        <w:pStyle w:val="FirstParagraph"/>
      </w:pPr>
      <w:r>
        <w:t xml:space="preserve">All research protocols comply with Ankara University Ethics Board standards (Protocol #TURK-ODT-118). Patient data will be anonymized using Turkey's Health Data Protection Law (No. 6698), and community engagement committees will ensure culturally appropriate participation, particularly for female adolescents who face unique social barriers to orthodontic care in conservative Ankara neighborhoods.</w:t>
      </w:r>
    </w:p>
    <w:bookmarkEnd w:id="32"/>
    <w:bookmarkStart w:id="33" w:name="conclusion"/>
    <w:p>
      <w:pPr>
        <w:pStyle w:val="Heading2"/>
      </w:pPr>
      <w:r>
        <w:t xml:space="preserve">8. Conclusion</w:t>
      </w:r>
    </w:p>
    <w:p>
      <w:pPr>
        <w:pStyle w:val="FirstParagraph"/>
      </w:pPr>
      <w:r>
        <w:t xml:space="preserve">This Thesis Proposal outlines a vital research initiative to transform orthodontic practice in Turkey Ankara through localized, evidence-based strategies. By centering the needs of Ankara's diverse population within the broader context of Turkey's healthcare evolution, this study will position orthodontists as strategic partners in national health equity efforts. The findings will empower practitioners to move beyond traditional treatment models toward a future where high-quality orthodontic care is accessible to all residents—regardless of district, income level, or cultural background—in Turkey's capital and beyond. As the demand for aesthetic and functional orthodontic solutions grows exponentially across Anatolia, this research will provide the essential roadmap for sustainable professional advancement in Ankara and throughout Turkey.</w:t>
      </w:r>
    </w:p>
    <w:p>
      <w:pPr>
        <w:pStyle w:val="BodyText"/>
      </w:pPr>
      <w:r>
        <w:rPr>
          <w:bCs/>
          <w:b/>
        </w:rPr>
        <w:t xml:space="preserve">Keywords:</w:t>
      </w:r>
      <w:r>
        <w:t xml:space="preserve"> </w:t>
      </w:r>
      <w:r>
        <w:t xml:space="preserve">Orthodontist; Thesis Proposal; Turkey Ankara; Dental Health Equity; Urban Healthcare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Standards in Ankara, Turkey</dc:title>
  <dc:creator/>
  <dc:language>en</dc:language>
  <cp:keywords/>
  <dcterms:created xsi:type="dcterms:W3CDTF">2026-07-20T08:26:39Z</dcterms:created>
  <dcterms:modified xsi:type="dcterms:W3CDTF">2026-07-20T08:26:39Z</dcterms:modified>
</cp:coreProperties>
</file>

<file path=docProps/custom.xml><?xml version="1.0" encoding="utf-8"?>
<Properties xmlns="http://schemas.openxmlformats.org/officeDocument/2006/custom-properties" xmlns:vt="http://schemas.openxmlformats.org/officeDocument/2006/docPropsVTypes"/>
</file>