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Practices</w:t>
      </w:r>
      <w:r>
        <w:t xml:space="preserve"> </w:t>
      </w:r>
      <w:r>
        <w:t xml:space="preserve">for</w:t>
      </w:r>
      <w:r>
        <w:t xml:space="preserve"> </w:t>
      </w:r>
      <w:r>
        <w:t xml:space="preserve">Australia</w:t>
      </w:r>
      <w:r>
        <w:t xml:space="preserve"> </w:t>
      </w:r>
      <w:r>
        <w:t xml:space="preserve">Sydney</w:t>
      </w:r>
      <w:r>
        <w:t xml:space="preserve"> </w:t>
      </w:r>
      <w:r>
        <w:t xml:space="preserve">Context</w:t>
      </w:r>
    </w:p>
    <w:bookmarkStart w:id="32" w:name="X3c72754310f3d1ebd65a07eea3f69f35b1589fd"/>
    <w:p>
      <w:pPr>
        <w:pStyle w:val="Heading1"/>
      </w:pPr>
      <w:r>
        <w:t xml:space="preserve">Thesis Proposal: Optimizing Carbon-Neutral Reservoir Development Strategies in the Australian Continental Shelf: A Focus on Petroleum Engineer Innovation in Australia Sydney</w:t>
      </w:r>
    </w:p>
    <w:bookmarkStart w:id="20" w:name="introduction-and-background"/>
    <w:p>
      <w:pPr>
        <w:pStyle w:val="Heading2"/>
      </w:pPr>
      <w:r>
        <w:t xml:space="preserve">1. Introduction and Background</w:t>
      </w:r>
    </w:p>
    <w:p>
      <w:pPr>
        <w:pStyle w:val="FirstParagraph"/>
      </w:pPr>
      <w:r>
        <w:t xml:space="preserve">The petroleum industry remains a cornerstone of Australia's economic landscape, contributing significantly to national revenue through export earnings and energy security. As a leading academic institution situated in the dynamic metropolis of Australia Sydney, the University of New South Wales (UNSW) is uniquely positioned to drive innovation in petroleum engineering education and research. However, with global decarbonization commitments intensifying and Australia's own net-zero targets by 2050, traditional reservoir management approaches face unprecedented scrutiny. This Thesis Proposal outlines a critical investigation into sustainable reservoir development methodologies specifically calibrated for the Australian continental shelf—a domain where Petroleum Engineers must balance economic viability with environmental stewardship. The research directly addresses the pressing need for petroleum engineering solutions that align with Australia Sydney's dual identity as both a major energy producer and a climate leadership aspirant.</w:t>
      </w:r>
    </w:p>
    <w:bookmarkEnd w:id="20"/>
    <w:bookmarkStart w:id="21" w:name="problem-statement"/>
    <w:p>
      <w:pPr>
        <w:pStyle w:val="Heading2"/>
      </w:pPr>
      <w:r>
        <w:t xml:space="preserve">2. Problem Statement</w:t>
      </w:r>
    </w:p>
    <w:p>
      <w:pPr>
        <w:pStyle w:val="FirstParagraph"/>
      </w:pPr>
      <w:r>
        <w:t xml:space="preserve">Current reservoir development practices in Australian offshore fields—primarily in the North West Shelf and Browse Basin—often prioritize short-term hydrocarbon recovery over long-term carbon footprint mitigation. This disconnect is exacerbated by the absence of regionally tailored frameworks that integrate Australia's unique geological complexity, stringent environmental regulations (e.g., Environmental Protection and Biodiversity Conservation Act 1999), and evolving ESG investor expectations. Crucially, Petroleum Engineers operating from institutions in Australia Sydney lack comprehensive tools to quantify carbon intensity metrics during reservoir lifecycle planning. This gap threatens Australia's energy transition trajectory while diminishing the competitiveness of its petroleum workforce globally.</w:t>
      </w:r>
    </w:p>
    <w:bookmarkEnd w:id="21"/>
    <w:bookmarkStart w:id="22" w:name="research-objectives"/>
    <w:p>
      <w:pPr>
        <w:pStyle w:val="Heading2"/>
      </w:pPr>
      <w:r>
        <w:t xml:space="preserve">3. Research Objectives</w:t>
      </w:r>
    </w:p>
    <w:p>
      <w:pPr>
        <w:numPr>
          <w:ilvl w:val="0"/>
          <w:numId w:val="1001"/>
        </w:numPr>
        <w:pStyle w:val="Compact"/>
      </w:pPr>
      <w:r>
        <w:t xml:space="preserve">To develop a computational framework that models carbon emissions across all reservoir development phases (exploration, drilling, production, decommissioning) specific to Australian offshore geology.</w:t>
      </w:r>
    </w:p>
    <w:p>
      <w:pPr>
        <w:numPr>
          <w:ilvl w:val="0"/>
          <w:numId w:val="1001"/>
        </w:numPr>
        <w:pStyle w:val="Compact"/>
      </w:pPr>
      <w:r>
        <w:t xml:space="preserve">To identify optimal reservoir management strategies that reduce carbon intensity by ≥25% without compromising economic viability for fields within 200km of the Australia Sydney coast.</w:t>
      </w:r>
    </w:p>
    <w:p>
      <w:pPr>
        <w:numPr>
          <w:ilvl w:val="0"/>
          <w:numId w:val="1001"/>
        </w:numPr>
        <w:pStyle w:val="Compact"/>
      </w:pPr>
      <w:r>
        <w:t xml:space="preserve">To establish a decision-support toolkit for Petroleum Engineers operating from Australia Sydney-based institutions, integrating real-time environmental data with reservoir simulation.</w:t>
      </w:r>
    </w:p>
    <w:p>
      <w:pPr>
        <w:numPr>
          <w:ilvl w:val="0"/>
          <w:numId w:val="1001"/>
        </w:numPr>
        <w:pStyle w:val="Compact"/>
      </w:pPr>
      <w:r>
        <w:t xml:space="preserve">To evaluate policy mechanisms that incentivize carbon-conscious engineering practices in the Australian regulatory environment.</w:t>
      </w:r>
    </w:p>
    <w:bookmarkEnd w:id="22"/>
    <w:bookmarkStart w:id="23" w:name="literature-review-synthesis"/>
    <w:p>
      <w:pPr>
        <w:pStyle w:val="Heading2"/>
      </w:pPr>
      <w:r>
        <w:t xml:space="preserve">4. Literature Review Synthesis</w:t>
      </w:r>
    </w:p>
    <w:p>
      <w:pPr>
        <w:pStyle w:val="FirstParagraph"/>
      </w:pPr>
      <w:r>
        <w:t xml:space="preserve">While global research on low-carbon petroleum engineering has grown (e.g., Karamanis et al., 2021; IPCC, 2023), studies remain geographically skewed toward North American basins and lack Australia-specific calibration. Recent Australian initiatives like the CSIRO's "Low Emissions Energy Strategy" (2022) acknowledge the need for engineering innovation but do not address operational-level reservoir management. Notably, no peer-reviewed work has analyzed how Petroleum Engineers in Australia Sydney can leverage their geographic advantage—proximity to key regulatory bodies (e.g., National Offshore Petroleum Safety and Environmental Management Authority), industry hubs (Perth Basin), and academic resources—to pioneer regionally adaptive solutions. This research bridges that critical gap by centering Australian continental shelf conditions within the petroleum engineering paradigm.</w:t>
      </w:r>
    </w:p>
    <w:bookmarkEnd w:id="23"/>
    <w:bookmarkStart w:id="27" w:name="methodology"/>
    <w:p>
      <w:pPr>
        <w:pStyle w:val="Heading2"/>
      </w:pPr>
      <w:r>
        <w:t xml:space="preserve">5. Methodology</w:t>
      </w:r>
    </w:p>
    <w:p>
      <w:pPr>
        <w:pStyle w:val="FirstParagraph"/>
      </w:pPr>
      <w:r>
        <w:t xml:space="preserve">This interdisciplinary study will employ a three-phase methodology conducted at the University of New South Wales' Sydney-based Energy Resources Engineering Lab:</w:t>
      </w:r>
    </w:p>
    <w:bookmarkStart w:id="24" w:name="phase-1-data-integration-months-1-6"/>
    <w:p>
      <w:pPr>
        <w:pStyle w:val="Heading3"/>
      </w:pPr>
      <w:r>
        <w:t xml:space="preserve">Phase 1: Data Integration (Months 1-6)</w:t>
      </w:r>
    </w:p>
    <w:p>
      <w:pPr>
        <w:numPr>
          <w:ilvl w:val="0"/>
          <w:numId w:val="1002"/>
        </w:numPr>
        <w:pStyle w:val="Compact"/>
      </w:pPr>
      <w:r>
        <w:t xml:space="preserve">Collate open-source Australian petroleum production data (AGG, NERP) and environmental impact metrics.</w:t>
      </w:r>
    </w:p>
    <w:p>
      <w:pPr>
        <w:numPr>
          <w:ilvl w:val="0"/>
          <w:numId w:val="1002"/>
        </w:numPr>
        <w:pStyle w:val="Compact"/>
      </w:pPr>
      <w:r>
        <w:t xml:space="preserve">Develop a GIS-based reservoir database mapping geological formations, carbon sinks, and ecological sensitivity zones across Australia Sydney's nearshore regions.</w:t>
      </w:r>
    </w:p>
    <w:bookmarkEnd w:id="24"/>
    <w:bookmarkStart w:id="25" w:name="phase-2-model-development-months-7-14"/>
    <w:p>
      <w:pPr>
        <w:pStyle w:val="Heading3"/>
      </w:pPr>
      <w:r>
        <w:t xml:space="preserve">Phase 2: Model Development (Months 7-14)</w:t>
      </w:r>
    </w:p>
    <w:p>
      <w:pPr>
        <w:numPr>
          <w:ilvl w:val="0"/>
          <w:numId w:val="1003"/>
        </w:numPr>
        <w:pStyle w:val="Compact"/>
      </w:pPr>
      <w:r>
        <w:t xml:space="preserve">Create a modified reservoir simulation model (using PETREL software) incorporating:</w:t>
      </w:r>
    </w:p>
    <w:p>
      <w:pPr>
        <w:numPr>
          <w:ilvl w:val="1"/>
          <w:numId w:val="1004"/>
        </w:numPr>
        <w:pStyle w:val="Compact"/>
      </w:pPr>
      <w:r>
        <w:t xml:space="preserve">Carbon emission factors per operational activity (e.g., rig fuel, flaring, transport)</w:t>
      </w:r>
    </w:p>
    <w:p>
      <w:pPr>
        <w:numPr>
          <w:ilvl w:val="1"/>
          <w:numId w:val="1004"/>
        </w:numPr>
        <w:pStyle w:val="Compact"/>
      </w:pPr>
      <w:r>
        <w:t xml:space="preserve">Dynamic carbon pricing scenarios aligned with Australia's Emissions Reduction Fund</w:t>
      </w:r>
    </w:p>
    <w:p>
      <w:pPr>
        <w:numPr>
          <w:ilvl w:val="1"/>
          <w:numId w:val="1004"/>
        </w:numPr>
        <w:pStyle w:val="Compact"/>
      </w:pPr>
      <w:r>
        <w:t xml:space="preserve">Geomechanical constraints specific to the Great Artesian Basin and Carnarvon Basin</w:t>
      </w:r>
    </w:p>
    <w:bookmarkEnd w:id="25"/>
    <w:bookmarkStart w:id="26" w:name="X6fc271181b7011348a7c0b136fe34a849b73121"/>
    <w:p>
      <w:pPr>
        <w:pStyle w:val="Heading3"/>
      </w:pPr>
      <w:r>
        <w:t xml:space="preserve">Phase 3: Validation &amp; Policy Integration (Months 15-24)</w:t>
      </w:r>
    </w:p>
    <w:p>
      <w:pPr>
        <w:numPr>
          <w:ilvl w:val="0"/>
          <w:numId w:val="1005"/>
        </w:numPr>
        <w:pStyle w:val="Compact"/>
      </w:pPr>
      <w:r>
        <w:t xml:space="preserve">Validate model against case studies from Chevron's Gorgon Field and Woodside's Pluto LNG operations.</w:t>
      </w:r>
    </w:p>
    <w:p>
      <w:pPr>
        <w:numPr>
          <w:ilvl w:val="0"/>
          <w:numId w:val="1005"/>
        </w:numPr>
        <w:pStyle w:val="Compact"/>
      </w:pPr>
      <w:r>
        <w:t xml:space="preserve">Conduct stakeholder workshops with Australia Sydney-based industry partners (e.g., Santos, Shell Australia) to refine tool usability for Petroleum Engineers.</w:t>
      </w:r>
    </w:p>
    <w:p>
      <w:pPr>
        <w:numPr>
          <w:ilvl w:val="0"/>
          <w:numId w:val="1005"/>
        </w:numPr>
        <w:pStyle w:val="Compact"/>
      </w:pPr>
      <w:r>
        <w:t xml:space="preserve">Analyze policy implications using the Australian Government’s "National Hydrogen Strategy" as a benchmark.</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three transformative outputs:</w:t>
      </w:r>
    </w:p>
    <w:p>
      <w:pPr>
        <w:numPr>
          <w:ilvl w:val="0"/>
          <w:numId w:val="1006"/>
        </w:numPr>
        <w:pStyle w:val="Compact"/>
      </w:pPr>
      <w:r>
        <w:rPr>
          <w:bCs/>
          <w:b/>
        </w:rPr>
        <w:t xml:space="preserve">A first-of-its-kind Carbon-Reservoir Integration (CRI) Toolkit</w:t>
      </w:r>
      <w:r>
        <w:t xml:space="preserve">: A user-friendly software module for Petroleum Engineers to simulate carbon-economic trade-offs during reservoir planning, directly addressing the skill gap in Australia Sydney's engineering curriculum.</w:t>
      </w:r>
    </w:p>
    <w:p>
      <w:pPr>
        <w:numPr>
          <w:ilvl w:val="0"/>
          <w:numId w:val="1006"/>
        </w:numPr>
        <w:pStyle w:val="Compact"/>
      </w:pPr>
      <w:r>
        <w:rPr>
          <w:bCs/>
          <w:b/>
        </w:rPr>
        <w:t xml:space="preserve">Peer-reviewed Framework for Sustainable Development</w:t>
      </w:r>
      <w:r>
        <w:t xml:space="preserve">: A methodology paper proposing industry-wide standards for carbon-integrated reservoir management, with specific protocols for Australian offshore operations.</w:t>
      </w:r>
    </w:p>
    <w:p>
      <w:pPr>
        <w:numPr>
          <w:ilvl w:val="0"/>
          <w:numId w:val="1006"/>
        </w:numPr>
        <w:pStyle w:val="Compact"/>
      </w:pPr>
      <w:r>
        <w:rPr>
          <w:bCs/>
          <w:b/>
        </w:rPr>
        <w:t xml:space="preserve">Policy Briefing Document</w:t>
      </w:r>
      <w:r>
        <w:t xml:space="preserve">: Recommendations to the Australian Department of Industry, Science and Resources on incentivizing low-carbon reservoir development through taxation and licensing mechanisms.</w:t>
      </w:r>
    </w:p>
    <w:p>
      <w:pPr>
        <w:pStyle w:val="FirstParagraph"/>
      </w:pPr>
      <w:r>
        <w:t xml:space="preserve">The significance extends beyond academic contribution: By positioning Australia Sydney as a global hub for sustainable petroleum engineering innovation, this research directly supports the Australian government's "Energy Security Strategy 2022" while future-proofing Petroleum Engineers against regulatory disruption. The CRI Toolkit will be embedded into UNSW's Petroleum Engineering program, ensuring graduates are equipped to lead Australia's energy transition—making Sydney a magnet for talent seeking to merge technical excellence with environmental responsibility.</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Data Curation</w:t>
      </w:r>
    </w:p>
    <w:p>
      <w:pPr>
        <w:pStyle w:val="BodyText"/>
      </w:pPr>
      <w:r>
        <w:t xml:space="preserve">1-6</w:t>
      </w:r>
    </w:p>
    <w:p>
      <w:pPr>
        <w:pStyle w:val="BodyText"/>
      </w:pPr>
      <w:r>
        <w:t xml:space="preserve">Data repository, GIS baseline map of Australia Sydney's offshore zones</w:t>
      </w:r>
    </w:p>
    <w:p>
      <w:pPr>
        <w:pStyle w:val="BodyText"/>
      </w:pPr>
      <w:r>
        <w:t xml:space="preserve">Model Development &amp; Calibration</w:t>
      </w:r>
    </w:p>
    <w:p>
      <w:pPr>
        <w:pStyle w:val="BodyText"/>
      </w:pPr>
      <w:r>
        <w:t xml:space="preserve">7-14</w:t>
      </w:r>
    </w:p>
    <w:p>
      <w:pPr>
        <w:pStyle w:val="BodyText"/>
      </w:pPr>
      <w:r>
        <w:t xml:space="preserve">CRI Toolkit prototype v1.0, carbon-economics dataset for 5 Australian fields</w:t>
      </w:r>
    </w:p>
    <w:p>
      <w:pPr>
        <w:pStyle w:val="BodyText"/>
      </w:pPr>
      <w:r>
        <w:t xml:space="preserve">Industry Validation &amp; Policy Analysis</w:t>
      </w:r>
    </w:p>
    <w:p>
      <w:pPr>
        <w:pStyle w:val="BodyText"/>
      </w:pPr>
      <w:r>
        <w:t xml:space="preserve">15-20</w:t>
      </w:r>
    </w:p>
    <w:p>
      <w:pPr>
        <w:pStyle w:val="BodyText"/>
      </w:pPr>
      <w:r>
        <w:t xml:space="preserve">User feedback report, policy brief draft</w:t>
      </w:r>
    </w:p>
    <w:p>
      <w:pPr>
        <w:pStyle w:val="BodyText"/>
      </w:pPr>
      <w:r>
        <w:t xml:space="preserve">Dissertation Writing &amp; Dissemination</w:t>
      </w:r>
    </w:p>
    <w:p>
      <w:pPr>
        <w:pStyle w:val="BodyText"/>
      </w:pPr>
      <w:r>
        <w:t xml:space="preserve">21-24</w:t>
      </w:r>
    </w:p>
    <w:bookmarkEnd w:id="29"/>
    <w:bookmarkStart w:id="30" w:name="X08d5553b75ef8bfebefc7bbf1479390406cd1d6"/>
    <w:p>
      <w:pPr>
        <w:pStyle w:val="Heading2"/>
      </w:pPr>
      <w:r>
        <w:t xml:space="preserve">8. Conclusion: The Australia Sydney Imperative</w:t>
      </w:r>
    </w:p>
    <w:p>
      <w:pPr>
        <w:pStyle w:val="FirstParagraph"/>
      </w:pPr>
      <w:r>
        <w:t xml:space="preserve">This Thesis Proposal responds to a pivotal moment for the petroleum industry in Australia. As a global leader in energy transition discourse, Australia Sydney must leverage its academic infrastructure to redefine what it means to be a Petroleum Engineer in the 21st century. This research transcends conventional reservoir engineering by embedding sustainability into its core methodology—ensuring that future Petroleum Engineers operating from institutions like UNSW are not merely technicians but architects of a responsible energy future. By focusing on Australia Sydney's unique position as both an energy producer and climate leader, this work delivers actionable innovation for the industry while reinforcing the city's reputation as a nexus for ethical engineering solutions. The successful completion of this Thesis Proposal will establish a new benchmark in petroleum engineering education and practice, proving that environmental responsibility and economic value are not mutually exclusive—but intrinsically linked through intelligent engineering design.</w:t>
      </w:r>
    </w:p>
    <w:bookmarkEnd w:id="30"/>
    <w:bookmarkStart w:id="31" w:name="references-selected"/>
    <w:p>
      <w:pPr>
        <w:pStyle w:val="Heading2"/>
      </w:pPr>
      <w:r>
        <w:t xml:space="preserve">9. References (Selected)</w:t>
      </w:r>
    </w:p>
    <w:p>
      <w:pPr>
        <w:numPr>
          <w:ilvl w:val="0"/>
          <w:numId w:val="1007"/>
        </w:numPr>
        <w:pStyle w:val="Compact"/>
      </w:pPr>
      <w:r>
        <w:t xml:space="preserve">Australian Government. (2022). *Energy Security Strategy*. Commonwealth of Australia.</w:t>
      </w:r>
    </w:p>
    <w:p>
      <w:pPr>
        <w:numPr>
          <w:ilvl w:val="0"/>
          <w:numId w:val="1007"/>
        </w:numPr>
        <w:pStyle w:val="Compact"/>
      </w:pPr>
      <w:r>
        <w:t xml:space="preserve">CSIRO. (2022). *Low Emissions Energy Strategy: Pathways for Australian Petroleum*. CSIRO Publishing.</w:t>
      </w:r>
    </w:p>
    <w:p>
      <w:pPr>
        <w:numPr>
          <w:ilvl w:val="0"/>
          <w:numId w:val="1007"/>
        </w:numPr>
        <w:pStyle w:val="Compact"/>
      </w:pPr>
      <w:r>
        <w:t xml:space="preserve">IPCC. (2023). *Climate Change 2023: Mitigation of Climate Change*. Working Group III Contribution.</w:t>
      </w:r>
    </w:p>
    <w:p>
      <w:pPr>
        <w:numPr>
          <w:ilvl w:val="0"/>
          <w:numId w:val="1007"/>
        </w:numPr>
        <w:pStyle w:val="Compact"/>
      </w:pPr>
      <w:r>
        <w:t xml:space="preserve">Karamanis, D., et al. (2021). "Decarbonizing Reservoir Development: A Systems Approach." *Journal of Petroleum Science and Engineering*, 196, 107894.</w:t>
      </w:r>
    </w:p>
    <w:p>
      <w:pPr>
        <w:numPr>
          <w:ilvl w:val="0"/>
          <w:numId w:val="1007"/>
        </w:numPr>
        <w:pStyle w:val="Compact"/>
      </w:pPr>
      <w:r>
        <w:t xml:space="preserve">National Offshore Petroleum Safety and Environmental Management Authority (NOPSEMA). (2023). *Environmental Management Plan Guidelines*.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Practices for Australia Sydney Context</dc:title>
  <dc:creator/>
  <dc:language>en</dc:language>
  <cp:keywords/>
  <dcterms:created xsi:type="dcterms:W3CDTF">2026-05-02T23:02:07Z</dcterms:created>
  <dcterms:modified xsi:type="dcterms:W3CDTF">2026-05-02T23:02:07Z</dcterms:modified>
</cp:coreProperties>
</file>

<file path=docProps/custom.xml><?xml version="1.0" encoding="utf-8"?>
<Properties xmlns="http://schemas.openxmlformats.org/officeDocument/2006/custom-properties" xmlns:vt="http://schemas.openxmlformats.org/officeDocument/2006/docPropsVTypes"/>
</file>