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Oil</w:t>
      </w:r>
      <w:r>
        <w:t xml:space="preserve"> </w:t>
      </w:r>
      <w:r>
        <w:t xml:space="preserve">Recovery</w:t>
      </w:r>
      <w:r>
        <w:t xml:space="preserve"> </w:t>
      </w:r>
      <w:r>
        <w:t xml:space="preserve">Methods</w:t>
      </w:r>
      <w:r>
        <w:t xml:space="preserve"> </w:t>
      </w:r>
      <w:r>
        <w:t xml:space="preserve">in</w:t>
      </w:r>
      <w:r>
        <w:t xml:space="preserve"> </w:t>
      </w:r>
      <w:r>
        <w:t xml:space="preserve">Iraq</w:t>
      </w:r>
      <w:r>
        <w:t xml:space="preserve"> </w:t>
      </w:r>
      <w:r>
        <w:t xml:space="preserve">Baghdad</w:t>
      </w:r>
    </w:p>
    <w:bookmarkStart w:id="29" w:name="X425eaad8d375018361d54608d04682f8cec9ea9"/>
    <w:p>
      <w:pPr>
        <w:pStyle w:val="Heading1"/>
      </w:pPr>
      <w:r>
        <w:t xml:space="preserve">Thesis Proposal: Optimizing Enhanced Oil Recovery Techniques for Mature Fields in Iraq Baghdad</w:t>
      </w:r>
    </w:p>
    <w:bookmarkStart w:id="20" w:name="introduction-and-background"/>
    <w:p>
      <w:pPr>
        <w:pStyle w:val="Heading2"/>
      </w:pPr>
      <w:r>
        <w:t xml:space="preserve">1. Introduction and Background</w:t>
      </w:r>
    </w:p>
    <w:p>
      <w:pPr>
        <w:pStyle w:val="FirstParagraph"/>
      </w:pPr>
      <w:r>
        <w:t xml:space="preserve">The petroleum industry remains the cornerstone of Iraq's economy, contributing over 90% of government revenue and 60% of GDP. As a Petroleum Engineer operating within the dynamic landscape of Iraq Baghdad, this research addresses a critical national priority: maximizing hydrocarbon recovery from mature fields in the capital region. Baghdad serves as the administrative and technical hub for Iraq's oil sector, housing key institutions like the Iraqi Ministry of Oil and major field operations in proximity to the city. However, current recovery rates in legacy fields surrounding Baghdad (notably Zubair and Rumaila) remain below global benchmarks at approximately 30%, significantly below the 50-60% achievable with advanced Enhanced Oil Recovery (EOR) methods. This inefficiency represents an estimated $12 billion in unrealized revenue annually for the Iraqi state. The proposed Thesis Proposal therefore targets a strategic gap requiring immediate attention from a Petroleum Engineer operating within Iraq Baghdad's operational context.</w:t>
      </w:r>
    </w:p>
    <w:bookmarkEnd w:id="20"/>
    <w:bookmarkStart w:id="21" w:name="problem-statement"/>
    <w:p>
      <w:pPr>
        <w:pStyle w:val="Heading2"/>
      </w:pPr>
      <w:r>
        <w:t xml:space="preserve">2. Problem Statement</w:t>
      </w:r>
    </w:p>
    <w:p>
      <w:pPr>
        <w:pStyle w:val="FirstParagraph"/>
      </w:pPr>
      <w:r>
        <w:t xml:space="preserve">Despite Iraq's vast oil reserves (145 billion barrels), production challenges persist due to aging infrastructure, water management issues in carbonate reservoirs, and suboptimal recovery techniques. Specifically in the Baghdad region, Petroleum Engineers face unique constraints: limited access to advanced EOR technologies due to budgetary restrictions and geopolitical complexities; high-salinity formation waters complicating chemical flooding operations; and insufficient geological data for precise reservoir simulation. Current field practices rely heavily on primary depletion methods, ignoring the potential of tertiary recovery techniques like CO2 injection or polymer flooding that could unlock 15-20% additional oil from mature fields near Baghdad. This Thesis Proposal directly confronts these limitations to provide actionable solutions tailored for the Iraqi context.</w:t>
      </w:r>
    </w:p>
    <w:bookmarkEnd w:id="21"/>
    <w:bookmarkStart w:id="22" w:name="literature-review-synthesis"/>
    <w:p>
      <w:pPr>
        <w:pStyle w:val="Heading2"/>
      </w:pPr>
      <w:r>
        <w:t xml:space="preserve">3. Literature Review Synthesis</w:t>
      </w:r>
    </w:p>
    <w:p>
      <w:pPr>
        <w:pStyle w:val="FirstParagraph"/>
      </w:pPr>
      <w:r>
        <w:t xml:space="preserve">Existing global research on EOR (e.g., studies by SPE and IPIECA) demonstrates significant success in North American and Gulf fields, yet application in Iraq Baghdad faces contextual barriers. A 2021 study by Al-Mashhadani et al. identified Baghdad's high-temperature carbonate reservoirs as particularly challenging for conventional EOR due to mineral reactivity with injected chemicals. Similarly, Mustafa (2023) highlighted the economic viability gap: while CO2-EOR can yield $35-$40/barrel profit margins globally, Iraqi operational costs exceed $15/barrel due to import dependencies and infrastructure deficits. Crucially, no comprehensive field-specific models exist for Baghdad's unique geology (characterized by high permeability contrasts and complex fault systems). This Thesis Proposal bridges that gap by synthesizing global best practices with localized geological data from the Ministry of Oil’s Baghdad regional database.</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cost-effective CO2-EOR pilot design for the Zubair Formation near Baghdad, targeting 15% incremental recovery while reducing water cut by 30%.</w:t>
      </w:r>
    </w:p>
    <w:p>
      <w:pPr>
        <w:pStyle w:val="BodyText"/>
      </w:pPr>
      <w:r>
        <w:rPr>
          <w:bCs/>
          <w:b/>
        </w:rPr>
        <w:t xml:space="preserve">Secondary Objectives:</w:t>
      </w:r>
    </w:p>
    <w:p>
      <w:pPr>
        <w:numPr>
          <w:ilvl w:val="0"/>
          <w:numId w:val="1001"/>
        </w:numPr>
        <w:pStyle w:val="Compact"/>
      </w:pPr>
      <w:r>
        <w:t xml:space="preserve">Evaluate reservoir-specific chemical compatibility for polymer flooding under Baghdad's high-temperature conditions (80-120°C).</w:t>
      </w:r>
    </w:p>
    <w:p>
      <w:pPr>
        <w:numPr>
          <w:ilvl w:val="0"/>
          <w:numId w:val="1001"/>
        </w:numPr>
        <w:pStyle w:val="Compact"/>
      </w:pPr>
      <w:r>
        <w:t xml:space="preserve">Quantify economic viability using Iraq-specific cost parameters (e.g., local labor, equipment import duties).</w:t>
      </w:r>
    </w:p>
    <w:p>
      <w:pPr>
        <w:numPr>
          <w:ilvl w:val="0"/>
          <w:numId w:val="1001"/>
        </w:numPr>
        <w:pStyle w:val="Compact"/>
      </w:pPr>
      <w:r>
        <w:t xml:space="preserve">Propose a phased implementation roadmap aligned with the Iraqi Ministry of Oil’s 2035 Strategic Plan.</w:t>
      </w:r>
    </w:p>
    <w:bookmarkEnd w:id="23"/>
    <w:bookmarkStart w:id="24" w:name="methodology"/>
    <w:p>
      <w:pPr>
        <w:pStyle w:val="Heading2"/>
      </w:pPr>
      <w:r>
        <w:t xml:space="preserve">5. Methodology</w:t>
      </w:r>
    </w:p>
    <w:p>
      <w:pPr>
        <w:pStyle w:val="FirstParagraph"/>
      </w:pPr>
      <w:r>
        <w:t xml:space="preserve">This Thesis Proposal outlines a five-phase methodology integrating field data, simulation, and economic analysis:</w:t>
      </w:r>
    </w:p>
    <w:p>
      <w:pPr>
        <w:numPr>
          <w:ilvl w:val="0"/>
          <w:numId w:val="1002"/>
        </w:numPr>
        <w:pStyle w:val="Compact"/>
      </w:pPr>
      <w:r>
        <w:rPr>
          <w:bCs/>
          <w:b/>
        </w:rPr>
        <w:t xml:space="preserve">Geological &amp; Reservoir Characterization:</w:t>
      </w:r>
      <w:r>
        <w:t xml:space="preserve"> </w:t>
      </w:r>
      <w:r>
        <w:t xml:space="preserve">Utilize core samples and 3D seismic data from Baghdad’s Rumaila field (50 km south of city) to build a digital twin model using Petrel software.</w:t>
      </w:r>
    </w:p>
    <w:p>
      <w:pPr>
        <w:numPr>
          <w:ilvl w:val="0"/>
          <w:numId w:val="1002"/>
        </w:numPr>
        <w:pStyle w:val="Compact"/>
      </w:pPr>
      <w:r>
        <w:rPr>
          <w:bCs/>
          <w:b/>
        </w:rPr>
        <w:t xml:space="preserve">Laboratory Testing:</w:t>
      </w:r>
      <w:r>
        <w:t xml:space="preserve"> </w:t>
      </w:r>
      <w:r>
        <w:t xml:space="preserve">Conduct reservoir rock-fluid compatibility tests at the University of Baghdad’s Petroleum Engineering Lab, simulating Baghdad's high-salinity brine conditions (120,000 ppm TDS).</w:t>
      </w:r>
    </w:p>
    <w:p>
      <w:pPr>
        <w:numPr>
          <w:ilvl w:val="0"/>
          <w:numId w:val="1002"/>
        </w:numPr>
        <w:pStyle w:val="Compact"/>
      </w:pPr>
      <w:r>
        <w:rPr>
          <w:bCs/>
          <w:b/>
        </w:rPr>
        <w:t xml:space="preserve">EOR Simulation:</w:t>
      </w:r>
      <w:r>
        <w:t xml:space="preserve"> </w:t>
      </w:r>
      <w:r>
        <w:t xml:space="preserve">Model CO2 miscibility and polymer injection scenarios in Schlumberger’s Eclipse simulator with Iraqi reservoir parameters.</w:t>
      </w:r>
    </w:p>
    <w:p>
      <w:pPr>
        <w:numPr>
          <w:ilvl w:val="0"/>
          <w:numId w:val="1002"/>
        </w:numPr>
        <w:pStyle w:val="Compact"/>
      </w:pPr>
      <w:r>
        <w:rPr>
          <w:bCs/>
          <w:b/>
        </w:rPr>
        <w:t xml:space="preserve">Cost-Benefit Analysis:</w:t>
      </w:r>
      <w:r>
        <w:t xml:space="preserve"> </w:t>
      </w:r>
      <w:r>
        <w:t xml:space="preserve">Calculate net present value (NPV) using Iraq-specific inputs: $45/barrel oil price, 70% tax rate, and 15% discount rate.</w:t>
      </w:r>
    </w:p>
    <w:p>
      <w:pPr>
        <w:numPr>
          <w:ilvl w:val="0"/>
          <w:numId w:val="1002"/>
        </w:numPr>
        <w:pStyle w:val="Compact"/>
      </w:pPr>
      <w:r>
        <w:rPr>
          <w:bCs/>
          <w:b/>
        </w:rPr>
        <w:t xml:space="preserve">Pilot Design:</w:t>
      </w:r>
      <w:r>
        <w:t xml:space="preserve"> </w:t>
      </w:r>
      <w:r>
        <w:t xml:space="preserve">Develop a field-scale pilot plan for the Al-Mishraq field (near Baghdad), including injection well spacing and monitoring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Petroleum Engineers operating in Iraq Baghdad:</w:t>
      </w:r>
    </w:p>
    <w:p>
      <w:pPr>
        <w:numPr>
          <w:ilvl w:val="0"/>
          <w:numId w:val="1003"/>
        </w:numPr>
        <w:pStyle w:val="Compact"/>
      </w:pPr>
      <w:r>
        <w:rPr>
          <w:bCs/>
          <w:b/>
        </w:rPr>
        <w:t xml:space="preserve">Technical Innovation:</w:t>
      </w:r>
      <w:r>
        <w:t xml:space="preserve"> </w:t>
      </w:r>
      <w:r>
        <w:t xml:space="preserve">A validated EOR workflow adaptable to Baghdad's carbonate reservoirs, potentially increasing recovery rates by 18% (vs. current 30%).</w:t>
      </w:r>
    </w:p>
    <w:p>
      <w:pPr>
        <w:numPr>
          <w:ilvl w:val="0"/>
          <w:numId w:val="1003"/>
        </w:numPr>
        <w:pStyle w:val="Compact"/>
      </w:pPr>
      <w:r>
        <w:rPr>
          <w:bCs/>
          <w:b/>
        </w:rPr>
        <w:t xml:space="preserve">Economic Impact:</w:t>
      </w:r>
      <w:r>
        <w:t xml:space="preserve"> </w:t>
      </w:r>
      <w:r>
        <w:t xml:space="preserve">A roadmap demonstrating $2.4 billion in incremental revenue over a 5-year pilot phase for the Iraqi state, directly supporting national economic stability.</w:t>
      </w:r>
    </w:p>
    <w:p>
      <w:pPr>
        <w:numPr>
          <w:ilvl w:val="0"/>
          <w:numId w:val="1003"/>
        </w:numPr>
        <w:pStyle w:val="Compact"/>
      </w:pPr>
      <w:r>
        <w:rPr>
          <w:bCs/>
          <w:b/>
        </w:rPr>
        <w:t xml:space="preserve">Capacity Building:</w:t>
      </w:r>
      <w:r>
        <w:t xml:space="preserve"> </w:t>
      </w:r>
      <w:r>
        <w:t xml:space="preserve">Training modules for Iraqi Petroleum Engineers on EOR implementation, addressing the critical skills gap identified in the World Bank’s 2023 Iraq Oil Sector Assessment.</w:t>
      </w:r>
    </w:p>
    <w:p>
      <w:pPr>
        <w:pStyle w:val="FirstParagraph"/>
      </w:pPr>
      <w:r>
        <w:t xml:space="preserve">The significance extends beyond revenue: optimized recovery reduces flaring and water disposal needs—critical environmental concerns in Baghdad’s semiarid climate. Moreover, success will position Iraq as a regional EOR leader, attracting foreign investment to its capital's oil industry ecosystem.</w:t>
      </w:r>
    </w:p>
    <w:bookmarkEnd w:id="25"/>
    <w:bookmarkStart w:id="26" w:name="timeline-and-feasibility"/>
    <w:p>
      <w:pPr>
        <w:pStyle w:val="Heading2"/>
      </w:pPr>
      <w:r>
        <w:t xml:space="preserve">7. Timeline and Feasibility</w:t>
      </w:r>
    </w:p>
    <w:p>
      <w:pPr>
        <w:pStyle w:val="FirstParagraph"/>
      </w:pPr>
      <w:r>
        <w:t xml:space="preserve">A 15-month timeline is proposed for implementation within Baghdad’s operational framework:</w:t>
      </w:r>
    </w:p>
    <w:p>
      <w:pPr>
        <w:numPr>
          <w:ilvl w:val="0"/>
          <w:numId w:val="1004"/>
        </w:numPr>
        <w:pStyle w:val="Compact"/>
      </w:pPr>
      <w:r>
        <w:rPr>
          <w:bCs/>
          <w:b/>
        </w:rPr>
        <w:t xml:space="preserve">Months 1-3:</w:t>
      </w:r>
      <w:r>
        <w:t xml:space="preserve"> </w:t>
      </w:r>
      <w:r>
        <w:t xml:space="preserve">Data acquisition from Ministry of Oil archives (Baghdad office) and university labs.</w:t>
      </w:r>
    </w:p>
    <w:p>
      <w:pPr>
        <w:numPr>
          <w:ilvl w:val="0"/>
          <w:numId w:val="1004"/>
        </w:numPr>
        <w:pStyle w:val="Compact"/>
      </w:pPr>
      <w:r>
        <w:rPr>
          <w:bCs/>
          <w:b/>
        </w:rPr>
        <w:t xml:space="preserve">Months 4-8:</w:t>
      </w:r>
      <w:r>
        <w:t xml:space="preserve"> </w:t>
      </w:r>
      <w:r>
        <w:t xml:space="preserve">Laboratory testing and reservoir simulation in Baghdad-based facilities.</w:t>
      </w:r>
    </w:p>
    <w:p>
      <w:pPr>
        <w:numPr>
          <w:ilvl w:val="0"/>
          <w:numId w:val="1004"/>
        </w:numPr>
        <w:pStyle w:val="Compact"/>
      </w:pPr>
      <w:r>
        <w:rPr>
          <w:bCs/>
          <w:b/>
        </w:rPr>
        <w:t xml:space="preserve">Months 9-12:</w:t>
      </w:r>
      <w:r>
        <w:t xml:space="preserve"> </w:t>
      </w:r>
      <w:r>
        <w:t xml:space="preserve">Economic modeling with Ministry stakeholders in Baghdad.</w:t>
      </w:r>
    </w:p>
    <w:p>
      <w:pPr>
        <w:numPr>
          <w:ilvl w:val="0"/>
          <w:numId w:val="1004"/>
        </w:numPr>
        <w:pStyle w:val="Compact"/>
      </w:pPr>
      <w:r>
        <w:rPr>
          <w:bCs/>
          <w:b/>
        </w:rPr>
        <w:t xml:space="preserve">Months 13-15:</w:t>
      </w:r>
      <w:r>
        <w:t xml:space="preserve"> </w:t>
      </w:r>
      <w:r>
        <w:t xml:space="preserve">Final report, pilot design, and knowledge transfer to Iraqi Petroleum Engineers at the Ministry’s Baghdad headquarters.</w:t>
      </w:r>
    </w:p>
    <w:p>
      <w:pPr>
        <w:pStyle w:val="FirstParagraph"/>
      </w:pPr>
      <w:r>
        <w:t xml:space="preserve">Feasibility is ensured through partnerships with the University of Baghdad (Petroleum Engineering Department) and the Iraq Oil Company’s field office in Baghdad. All equipment requirements (e.g., core analysis tools) are accessible through existing national infrastructure, eliminating import dependency.</w:t>
      </w:r>
    </w:p>
    <w:bookmarkEnd w:id="26"/>
    <w:bookmarkStart w:id="27" w:name="conclusion"/>
    <w:p>
      <w:pPr>
        <w:pStyle w:val="Heading2"/>
      </w:pPr>
      <w:r>
        <w:t xml:space="preserve">8. Conclusion</w:t>
      </w:r>
    </w:p>
    <w:p>
      <w:pPr>
        <w:pStyle w:val="FirstParagraph"/>
      </w:pPr>
      <w:r>
        <w:t xml:space="preserve">This Thesis Proposal establishes a critical pathway for Petroleum Engineers in Iraq Baghdad to transform underperforming assets into sustainable revenue generators. By merging global EOR expertise with Baghdad-specific constraints—geological, economic, and operational—it delivers a pragmatic solution aligned with national priorities. The research directly responds to the Iraqi government’s call for "technology-driven oil recovery" in its 2023 Oil Strategy document. For the aspiring Petroleum Engineer operating in Baghdad, this work transcends academic pursuit; it represents a tangible contribution to national economic resilience. The outcomes will empower local engineers to lead Iraq’s oil sector toward 50%+ recovery rates, securing energy sovereignty and fostering regional industrial leadership. As the capital city anchors Iraq’s oil destiny, this Thesis Proposal positions Petroleum Engineers in Baghdad not merely as technicians—but as architects of the nation’s hydrocarbon future.</w:t>
      </w:r>
    </w:p>
    <w:bookmarkEnd w:id="27"/>
    <w:bookmarkStart w:id="28" w:name="references-selected"/>
    <w:p>
      <w:pPr>
        <w:pStyle w:val="Heading2"/>
      </w:pPr>
      <w:r>
        <w:t xml:space="preserve">9. References (Selected)</w:t>
      </w:r>
    </w:p>
    <w:p>
      <w:pPr>
        <w:numPr>
          <w:ilvl w:val="0"/>
          <w:numId w:val="1005"/>
        </w:numPr>
        <w:pStyle w:val="Compact"/>
      </w:pPr>
      <w:r>
        <w:t xml:space="preserve">Al-Mashhadani, R., et al. (2021). "Carbonate Reservoir Challenges in Iraq." SPE Journal.</w:t>
      </w:r>
    </w:p>
    <w:p>
      <w:pPr>
        <w:numPr>
          <w:ilvl w:val="0"/>
          <w:numId w:val="1005"/>
        </w:numPr>
        <w:pStyle w:val="Compact"/>
      </w:pPr>
      <w:r>
        <w:t xml:space="preserve">Iraqi Ministry of Oil. (2023). *National Oil Strategy 2035*. Baghdad: Ministry Publications.</w:t>
      </w:r>
    </w:p>
    <w:p>
      <w:pPr>
        <w:numPr>
          <w:ilvl w:val="0"/>
          <w:numId w:val="1005"/>
        </w:numPr>
        <w:pStyle w:val="Compact"/>
      </w:pPr>
      <w:r>
        <w:t xml:space="preserve">World Bank. (2023). *Iraq Oil Sector Assessment*. Washington, DC: World Bank Group.</w:t>
      </w:r>
    </w:p>
    <w:p>
      <w:pPr>
        <w:numPr>
          <w:ilvl w:val="0"/>
          <w:numId w:val="1005"/>
        </w:numPr>
        <w:pStyle w:val="Compact"/>
      </w:pPr>
      <w:r>
        <w:t xml:space="preserve">Mustafa, A. (2023). "Economic Viability of EOR in Iraqi Fields." Journal of Petroleum Technology.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Oil Recovery Methods in Iraq Baghdad</dc:title>
  <dc:creator/>
  <dc:language>en</dc:language>
  <cp:keywords/>
  <dcterms:created xsi:type="dcterms:W3CDTF">2026-07-19T00:40:55Z</dcterms:created>
  <dcterms:modified xsi:type="dcterms:W3CDTF">2026-07-19T00:40:55Z</dcterms:modified>
</cp:coreProperties>
</file>

<file path=docProps/custom.xml><?xml version="1.0" encoding="utf-8"?>
<Properties xmlns="http://schemas.openxmlformats.org/officeDocument/2006/custom-properties" xmlns:vt="http://schemas.openxmlformats.org/officeDocument/2006/docPropsVTypes"/>
</file>