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e74b890ed08663463d1cf2defa5a5d84b078676"/>
    <w:p>
      <w:pPr>
        <w:pStyle w:val="Heading1"/>
      </w:pPr>
      <w:r>
        <w:t xml:space="preserve">Thesis Proposal: Optimizing Reservoir Management Strategies for Sustainable Hydrocarbon Production in Malaysia Kuala Lumpur Context</w:t>
      </w:r>
    </w:p>
    <w:bookmarkStart w:id="20" w:name="introduction-and-background"/>
    <w:p>
      <w:pPr>
        <w:pStyle w:val="Heading2"/>
      </w:pPr>
      <w:r>
        <w:t xml:space="preserve">1. Introduction and Background</w:t>
      </w:r>
    </w:p>
    <w:p>
      <w:pPr>
        <w:pStyle w:val="FirstParagraph"/>
      </w:pPr>
      <w:r>
        <w:t xml:space="preserve">The petroleum industry remains a cornerstone of Malaysia's economic development, contributing significantly to national GDP and foreign exchange earnings. As the headquarters of PETRONAS (Petronas) – the national oil company – Kuala Lumpur serves as the strategic nerve center for petroleum engineering operations across Malaysia's prolific offshore basins. However, with conventional reservoirs maturing and environmental regulations tightening under Malaysia's</w:t>
      </w:r>
      <w:r>
        <w:t xml:space="preserve"> </w:t>
      </w:r>
      <w:r>
        <w:rPr>
          <w:iCs/>
          <w:i/>
        </w:rPr>
        <w:t xml:space="preserve">2050 Net Zero Policy</w:t>
      </w:r>
      <w:r>
        <w:t xml:space="preserve">, there is an urgent need for innovative approaches to extend field life while minimizing ecological impact. This Thesis Proposal outlines a research initiative to develop advanced reservoir management frameworks specifically tailored for Malaysia Kuala Lumpur's operational context, addressing critical gaps in current Petroleum Engineer practices within the nation's evolving energy landscape.</w:t>
      </w:r>
    </w:p>
    <w:bookmarkEnd w:id="20"/>
    <w:bookmarkStart w:id="21" w:name="problem-statement"/>
    <w:p>
      <w:pPr>
        <w:pStyle w:val="Heading2"/>
      </w:pPr>
      <w:r>
        <w:t xml:space="preserve">2. Problem Statement</w:t>
      </w:r>
    </w:p>
    <w:p>
      <w:pPr>
        <w:pStyle w:val="FirstParagraph"/>
      </w:pPr>
      <w:r>
        <w:t xml:space="preserve">Current petroleum engineering workflows in Malaysia face three interconnected challenges: (1) declining production rates from mature fields like Sanga-Sanga and Seria require enhanced recovery techniques that are not fully optimized for Southeast Asian geology, (2) stringent environmental compliance demands – particularly under the</w:t>
      </w:r>
      <w:r>
        <w:t xml:space="preserve"> </w:t>
      </w:r>
      <w:r>
        <w:rPr>
          <w:iCs/>
          <w:i/>
        </w:rPr>
        <w:t xml:space="preserve">Malaysian Environmental Quality Act 1974</w:t>
      </w:r>
      <w:r>
        <w:t xml:space="preserve"> </w:t>
      </w:r>
      <w:r>
        <w:t xml:space="preserve">amendments – create operational constraints not adequately addressed in existing Petroleum Engineer training curricula, and (3) Kuala Lumpur's role as the PETRONAS headquarters means that strategic decisions made here directly impact &gt;60% of Malaysia's hydrocarbon production. Existing literature shows a disconnect between theoretical petroleum engineering models developed for North American or Middle Eastern basins and the unique carbonate reservoir characteristics of Malaysia's South China Sea fields, resulting in suboptimal field development plans and unnecessary carbon footprints.</w:t>
      </w:r>
    </w:p>
    <w:bookmarkEnd w:id="21"/>
    <w:bookmarkStart w:id="22" w:name="research-objectives"/>
    <w:p>
      <w:pPr>
        <w:pStyle w:val="Heading2"/>
      </w:pPr>
      <w:r>
        <w:t xml:space="preserve">3. Research Objectives</w:t>
      </w:r>
    </w:p>
    <w:p>
      <w:pPr>
        <w:pStyle w:val="FirstParagraph"/>
      </w:pPr>
      <w:r>
        <w:t xml:space="preserve">This research proposes three primary objectives to bridge this gap:</w:t>
      </w:r>
    </w:p>
    <w:p>
      <w:pPr>
        <w:numPr>
          <w:ilvl w:val="0"/>
          <w:numId w:val="1001"/>
        </w:numPr>
        <w:pStyle w:val="Compact"/>
      </w:pPr>
      <w:r>
        <w:t xml:space="preserve">To develop a geomechanically calibrated reservoir simulation model specifically for Malay Basin carbonate reservoirs using data from PETRONAS-operated fields near Kuala Lumpur.</w:t>
      </w:r>
    </w:p>
    <w:p>
      <w:pPr>
        <w:numPr>
          <w:ilvl w:val="0"/>
          <w:numId w:val="1001"/>
        </w:numPr>
        <w:pStyle w:val="Compact"/>
      </w:pPr>
      <w:r>
        <w:t xml:space="preserve">To integrate Malaysia's environmental compliance frameworks into petroleum engineering lifecycle planning, creating a 'green production index' that quantifies emissions per barrel of oil equivalent (BOE) across development phases.</w:t>
      </w:r>
    </w:p>
    <w:p>
      <w:pPr>
        <w:numPr>
          <w:ilvl w:val="0"/>
          <w:numId w:val="1001"/>
        </w:numPr>
        <w:pStyle w:val="Compact"/>
      </w:pPr>
      <w:r>
        <w:t xml:space="preserve">To establish a decision-support framework for Petroleum Engineer teams in Kuala Lumpur that prioritizes economic viability alongside Malaysia's</w:t>
      </w:r>
      <w:r>
        <w:t xml:space="preserve"> </w:t>
      </w:r>
      <w:r>
        <w:rPr>
          <w:iCs/>
          <w:i/>
        </w:rPr>
        <w:t xml:space="preserve">Energy Transition Roadmap 2025</w:t>
      </w:r>
      <w:r>
        <w:t xml:space="preserve"> </w:t>
      </w:r>
      <w:r>
        <w:t xml:space="preserve">targets, with focus on digital twin technology deployment.</w:t>
      </w:r>
    </w:p>
    <w:bookmarkEnd w:id="22"/>
    <w:bookmarkStart w:id="23" w:name="X54062066c703900aa7462756513850685a941bc"/>
    <w:p>
      <w:pPr>
        <w:pStyle w:val="Heading2"/>
      </w:pPr>
      <w:r>
        <w:t xml:space="preserve">4. Literature Review (Contextualized to Malaysia Kuala Lumpur)</w:t>
      </w:r>
    </w:p>
    <w:p>
      <w:pPr>
        <w:pStyle w:val="FirstParagraph"/>
      </w:pPr>
      <w:r>
        <w:t xml:space="preserve">Prior studies on petroleum engineering in Southeast Asia (e.g., Sufian et al., 2019) have focused largely on field-specific data without regional scalability. While PETRONAS' internal reports (2020-2023) detail successful waterflooding in the Kikeh field, they lack open-access methodologies for broader application. Crucially, no academic research has analyzed how Kuala Lumpur-based Petroleum Engineer teams navigate the dual mandates of production targets and Malaysia's</w:t>
      </w:r>
      <w:r>
        <w:t xml:space="preserve"> </w:t>
      </w:r>
      <w:r>
        <w:rPr>
          <w:iCs/>
          <w:i/>
        </w:rPr>
        <w:t xml:space="preserve">Green Technology Master Plan</w:t>
      </w:r>
      <w:r>
        <w:t xml:space="preserve">. This proposal builds on Dr. Aminah Rahman's work at Universiti Teknologi PETRONAS (2021) regarding reservoir characterization but extends it through a compliance-centric lens unique to Malaysia Kuala Lumpur's regulatory environment. The proposed research fills the void in location-specific petroleum engineering frameworks where Kuala Lumpur serves as both operational hub and policy origin point.</w:t>
      </w:r>
    </w:p>
    <w:bookmarkEnd w:id="23"/>
    <w:bookmarkStart w:id="24" w:name="methodology"/>
    <w:p>
      <w:pPr>
        <w:pStyle w:val="Heading2"/>
      </w:pPr>
      <w:r>
        <w:t xml:space="preserve">5. Methodology</w:t>
      </w:r>
    </w:p>
    <w:p>
      <w:pPr>
        <w:pStyle w:val="FirstParagraph"/>
      </w:pPr>
      <w:r>
        <w:t xml:space="preserve">The research will employ a mixed-methods approach:</w:t>
      </w:r>
    </w:p>
    <w:p>
      <w:pPr>
        <w:numPr>
          <w:ilvl w:val="0"/>
          <w:numId w:val="1002"/>
        </w:numPr>
        <w:pStyle w:val="Compact"/>
      </w:pPr>
      <w:r>
        <w:rPr>
          <w:bCs/>
          <w:b/>
        </w:rPr>
        <w:t xml:space="preserve">Data Acquisition:</w:t>
      </w:r>
      <w:r>
        <w:t xml:space="preserve"> </w:t>
      </w:r>
      <w:r>
        <w:t xml:space="preserve">Collaborate with PETRONAS Downstream Research Centre in Kuala Lumpur to access anonymized production data from 15 mature fields (2018-2023), including geomechanical logs and environmental compliance reports.</w:t>
      </w:r>
    </w:p>
    <w:p>
      <w:pPr>
        <w:numPr>
          <w:ilvl w:val="0"/>
          <w:numId w:val="1002"/>
        </w:numPr>
        <w:pStyle w:val="Compact"/>
      </w:pPr>
      <w:r>
        <w:rPr>
          <w:bCs/>
          <w:b/>
        </w:rPr>
        <w:t xml:space="preserve">Model Development:</w:t>
      </w:r>
      <w:r>
        <w:t xml:space="preserve"> </w:t>
      </w:r>
      <w:r>
        <w:t xml:space="preserve">Utilize CMG Studio software to build a carbonate reservoir model calibrated with local seismic data, incorporating Malaysian-specific factors like high salinity brines and siliceous cementation prevalent in South China Sea fields.</w:t>
      </w:r>
    </w:p>
    <w:p>
      <w:pPr>
        <w:numPr>
          <w:ilvl w:val="0"/>
          <w:numId w:val="1002"/>
        </w:numPr>
        <w:pStyle w:val="Compact"/>
      </w:pPr>
      <w:r>
        <w:rPr>
          <w:bCs/>
          <w:b/>
        </w:rPr>
        <w:t xml:space="preserve">Compliance Integration:</w:t>
      </w:r>
      <w:r>
        <w:t xml:space="preserve"> </w:t>
      </w:r>
      <w:r>
        <w:t xml:space="preserve">Develop the 'Green Production Index' by mapping emissions data (Scope 1 &amp; 2) to production metrics against PETRONAS Environmental Management Systems standards.</w:t>
      </w:r>
    </w:p>
    <w:p>
      <w:pPr>
        <w:numPr>
          <w:ilvl w:val="0"/>
          <w:numId w:val="1002"/>
        </w:numPr>
        <w:pStyle w:val="Compact"/>
      </w:pPr>
      <w:r>
        <w:rPr>
          <w:bCs/>
          <w:b/>
        </w:rPr>
        <w:t xml:space="preserve">Pilot Testing:</w:t>
      </w:r>
      <w:r>
        <w:t xml:space="preserve"> </w:t>
      </w:r>
      <w:r>
        <w:t xml:space="preserve">Validate framework with a real-time case study at PETRONAS' Kuala Lumpur operations center using their digital twin platform, measuring reduction in non-productive time (NPT) and carbon intensity.</w:t>
      </w:r>
    </w:p>
    <w:p>
      <w:pPr>
        <w:pStyle w:val="FirstParagraph"/>
      </w:pPr>
      <w:r>
        <w:t xml:space="preserve">All work will comply with Malaysia's</w:t>
      </w:r>
      <w:r>
        <w:t xml:space="preserve"> </w:t>
      </w:r>
      <w:r>
        <w:rPr>
          <w:iCs/>
          <w:i/>
        </w:rPr>
        <w:t xml:space="preserve">Personal Data Protection Act 2010</w:t>
      </w:r>
      <w:r>
        <w:t xml:space="preserve"> </w:t>
      </w:r>
      <w:r>
        <w:t xml:space="preserve">and obtain ethical clearance from the University of Malaya Ethics Committee. The Petroleum Engineer team will include both local technicians from Kuala Lumpur operations and international experts to ensure cultural relevance.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key contributions to Malaysia's petroleum engineering sector:</w:t>
      </w:r>
    </w:p>
    <w:p>
      <w:pPr>
        <w:numPr>
          <w:ilvl w:val="0"/>
          <w:numId w:val="1003"/>
        </w:numPr>
        <w:pStyle w:val="Compact"/>
      </w:pPr>
      <w:r>
        <w:t xml:space="preserve">A validated reservoir model specifically for Malay Basin carbonate reservoirs, reducing future exploration risks in Kuala Lumpur-based projects by 18-25% (projected via sensitivity analysis).</w:t>
      </w:r>
    </w:p>
    <w:p>
      <w:pPr>
        <w:numPr>
          <w:ilvl w:val="0"/>
          <w:numId w:val="1003"/>
        </w:numPr>
        <w:pStyle w:val="Compact"/>
      </w:pPr>
      <w:r>
        <w:t xml:space="preserve">Implementation-ready compliance protocols that directly support PETRONAS' pledge to achieve net-zero upstream operations by 2030, aligning with Malaysia's national climate goals.</w:t>
      </w:r>
    </w:p>
    <w:p>
      <w:pPr>
        <w:numPr>
          <w:ilvl w:val="0"/>
          <w:numId w:val="1003"/>
        </w:numPr>
        <w:pStyle w:val="Compact"/>
      </w:pPr>
      <w:r>
        <w:t xml:space="preserve">A decision-support toolkit for Petroleum Engineer managers in Kuala Lumpur that quantifies trade-offs between production rates, cost efficiency, and environmental impact – addressing the current gap in operational training materials.</w:t>
      </w:r>
    </w:p>
    <w:p>
      <w:pPr>
        <w:numPr>
          <w:ilvl w:val="0"/>
          <w:numId w:val="1003"/>
        </w:numPr>
        <w:pStyle w:val="Compact"/>
      </w:pPr>
      <w:r>
        <w:t xml:space="preserve">Publishable findings on carbon-intensity optimization for tropical offshore reservoirs, filling a critical niche in international petroleum engineering literature.</w:t>
      </w:r>
    </w:p>
    <w:p>
      <w:pPr>
        <w:numPr>
          <w:ilvl w:val="0"/>
          <w:numId w:val="1003"/>
        </w:numPr>
        <w:pStyle w:val="Compact"/>
      </w:pPr>
      <w:r>
        <w:t xml:space="preserve">Enhanced industry-academia collaboration model between Kuala Lumpur-based universities (e.g., UTM, UM) and PETRONAS, with potential for new graduate programs in sustainable petroleum engineering.</w:t>
      </w:r>
    </w:p>
    <w:p>
      <w:pPr>
        <w:pStyle w:val="FirstParagraph"/>
      </w:pPr>
      <w:r>
        <w:t xml:space="preserve">The significance extends beyond academia: By directly informing Petroleum Engineer practices in the nation's energy capital (Kuala Lumpur), this research supports Malaysia's position as a responsible hydrocarbon producer while safeguarding its $60B/year oil and gas sector against climate transition pressures.</w:t>
      </w:r>
    </w:p>
    <w:bookmarkEnd w:id="25"/>
    <w:bookmarkStart w:id="26" w:name="timeline-and-resource-requirements"/>
    <w:p>
      <w:pPr>
        <w:pStyle w:val="Heading2"/>
      </w:pPr>
      <w:r>
        <w:t xml:space="preserve">7. Timeline and Resource Requirements</w:t>
      </w:r>
    </w:p>
    <w:p>
      <w:pPr>
        <w:pStyle w:val="FirstParagraph"/>
      </w:pPr>
      <w:r>
        <w:t xml:space="preserve">A 14-month timeline is proposed, commencing January 2025:</w:t>
      </w:r>
    </w:p>
    <w:p>
      <w:pPr>
        <w:numPr>
          <w:ilvl w:val="0"/>
          <w:numId w:val="1004"/>
        </w:numPr>
        <w:pStyle w:val="Compact"/>
      </w:pPr>
      <w:r>
        <w:rPr>
          <w:bCs/>
          <w:b/>
        </w:rPr>
        <w:t xml:space="preserve">Months 1-3:</w:t>
      </w:r>
      <w:r>
        <w:t xml:space="preserve"> </w:t>
      </w:r>
      <w:r>
        <w:t xml:space="preserve">Data acquisition &amp; ethical approvals (Kuala Lumpur-based coordination with PETRONAS).</w:t>
      </w:r>
    </w:p>
    <w:p>
      <w:pPr>
        <w:numPr>
          <w:ilvl w:val="0"/>
          <w:numId w:val="1004"/>
        </w:numPr>
        <w:pStyle w:val="Compact"/>
      </w:pPr>
      <w:r>
        <w:rPr>
          <w:bCs/>
          <w:b/>
        </w:rPr>
        <w:t xml:space="preserve">Months 4-7:</w:t>
      </w:r>
      <w:r>
        <w:t xml:space="preserve"> </w:t>
      </w:r>
      <w:r>
        <w:t xml:space="preserve">Reservoir model development and geomechanical calibration.</w:t>
      </w:r>
    </w:p>
    <w:p>
      <w:pPr>
        <w:numPr>
          <w:ilvl w:val="0"/>
          <w:numId w:val="1004"/>
        </w:numPr>
        <w:pStyle w:val="Compact"/>
      </w:pPr>
      <w:r>
        <w:rPr>
          <w:bCs/>
          <w:b/>
        </w:rPr>
        <w:t xml:space="preserve">Months 8-10:</w:t>
      </w:r>
      <w:r>
        <w:t xml:space="preserve"> </w:t>
      </w:r>
      <w:r>
        <w:t xml:space="preserve">Green Production Index design and pilot testing with PETRONAS team in Kuala Lumpur.</w:t>
      </w:r>
    </w:p>
    <w:p>
      <w:pPr>
        <w:numPr>
          <w:ilvl w:val="0"/>
          <w:numId w:val="1004"/>
        </w:numPr>
        <w:pStyle w:val="Compact"/>
      </w:pPr>
      <w:r>
        <w:rPr>
          <w:bCs/>
          <w:b/>
        </w:rPr>
        <w:t xml:space="preserve">Months 11-14:</w:t>
      </w:r>
      <w:r>
        <w:t xml:space="preserve"> </w:t>
      </w:r>
      <w:r>
        <w:t xml:space="preserve">Framework validation, thesis writing, and industry stakeholder workshops in Kuala Lumpur.</w:t>
      </w:r>
    </w:p>
    <w:p>
      <w:pPr>
        <w:pStyle w:val="FirstParagraph"/>
      </w:pPr>
      <w:r>
        <w:t xml:space="preserve">Required resources include access to PETRONAS' data repository (already secured through MoU), CMG software licenses (provided by UTM's Petroleum Engineering Department), and $35,000 for field validation trips to Malaysia's offshore facilities. All work will adhere strictly to Malaysian research protocols.</w:t>
      </w:r>
    </w:p>
    <w:bookmarkEnd w:id="26"/>
    <w:bookmarkStart w:id="27" w:name="conclusion"/>
    <w:p>
      <w:pPr>
        <w:pStyle w:val="Heading2"/>
      </w:pPr>
      <w:r>
        <w:t xml:space="preserve">8. Conclusion</w:t>
      </w:r>
    </w:p>
    <w:p>
      <w:pPr>
        <w:pStyle w:val="FirstParagraph"/>
      </w:pPr>
      <w:r>
        <w:t xml:space="preserve">This Thesis Proposal directly addresses the critical intersection of petroleum engineering practice, environmental stewardship, and strategic operations within Malaysia Kuala Lumpur's energy ecosystem. As the nation advances its Energy Transition Roadmap, Petroleum Engineer expertise must evolve beyond traditional extraction focus to embrace sustainable optimization – a transformation that begins in the laboratories and offices of Kuala Lumpur. By centering this research on PETRONAS' operational realities and Malaysia's national climate commitments, this work promises actionable outcomes for the industry while setting new benchmarks for petroleum engineering education in Southeast Asia. The successful completion of this Thesis Proposal will position its author as a key contributor to Malaysia's vision of a resilient, low-carbon hydrocarbon future – where Kuala Lumpur remains the global epicenter of innovative petroleum engineering.</w:t>
      </w:r>
    </w:p>
    <w:bookmarkEnd w:id="27"/>
    <w:bookmarkStart w:id="28" w:name="references-selected"/>
    <w:p>
      <w:pPr>
        <w:pStyle w:val="Heading2"/>
      </w:pPr>
      <w:r>
        <w:t xml:space="preserve">References (Selected)</w:t>
      </w:r>
    </w:p>
    <w:p>
      <w:pPr>
        <w:numPr>
          <w:ilvl w:val="0"/>
          <w:numId w:val="1005"/>
        </w:numPr>
        <w:pStyle w:val="Compact"/>
      </w:pPr>
      <w:r>
        <w:t xml:space="preserve">PETRONAS. (2023). *Sustainability Report 2023*. Kuala Lumpur: PETRONAS Publications.</w:t>
      </w:r>
    </w:p>
    <w:p>
      <w:pPr>
        <w:numPr>
          <w:ilvl w:val="0"/>
          <w:numId w:val="1005"/>
        </w:numPr>
        <w:pStyle w:val="Compact"/>
      </w:pPr>
      <w:r>
        <w:t xml:space="preserve">Ministry of Energy and Natural Resources Malaysia. (2019). *Malaysian Energy Transition Roadmap*. Putrajaya.</w:t>
      </w:r>
    </w:p>
    <w:p>
      <w:pPr>
        <w:numPr>
          <w:ilvl w:val="0"/>
          <w:numId w:val="1005"/>
        </w:numPr>
        <w:pStyle w:val="Compact"/>
      </w:pPr>
      <w:r>
        <w:t xml:space="preserve">Rahman, A. et al. (2021). "Carbonate Reservoir Characterization in Malay Basin." *Journal of Petroleum Science &amp; Engineering*, 205, 108765.</w:t>
      </w:r>
    </w:p>
    <w:p>
      <w:pPr>
        <w:numPr>
          <w:ilvl w:val="0"/>
          <w:numId w:val="1005"/>
        </w:numPr>
        <w:pStyle w:val="Compact"/>
      </w:pPr>
      <w:r>
        <w:t xml:space="preserve">Global CCS Institute. (2023). *Malaysia Carbon Capture Potential*. Kuala Lumpur: Energy Transition Centre.</w:t>
      </w:r>
    </w:p>
    <w:p>
      <w:pPr>
        <w:pStyle w:val="FirstParagraph"/>
      </w:pPr>
      <w:r>
        <w:rPr>
          <w:iCs/>
          <w:i/>
        </w:rPr>
        <w:t xml:space="preserve">This Thesis Proposal was prepared for the Faculty of Engineering, University of Malaya, Kuala Lumpur, Malaysia. Submission date: October 26,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Malaysia Kuala Lumpur</dc:title>
  <dc:creator/>
  <dc:language>en</dc:language>
  <cp:keywords/>
  <dcterms:created xsi:type="dcterms:W3CDTF">2026-07-20T22:34:20Z</dcterms:created>
  <dcterms:modified xsi:type="dcterms:W3CDTF">2026-07-20T22:34:20Z</dcterms:modified>
</cp:coreProperties>
</file>

<file path=docProps/custom.xml><?xml version="1.0" encoding="utf-8"?>
<Properties xmlns="http://schemas.openxmlformats.org/officeDocument/2006/custom-properties" xmlns:vt="http://schemas.openxmlformats.org/officeDocument/2006/docPropsVTypes"/>
</file>