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30" w:name="Xc43d21504bf3107a67b793eb615d69ef9c2cc3b"/>
    <w:p>
      <w:pPr>
        <w:pStyle w:val="Heading1"/>
      </w:pPr>
      <w:r>
        <w:t xml:space="preserve">Thesis Proposal: Integrating Petroleum Engineering Expertise for Sustainable Energy Transition in New Zealand Wellington</w:t>
      </w:r>
    </w:p>
    <w:bookmarkStart w:id="20" w:name="introduction"/>
    <w:p>
      <w:pPr>
        <w:pStyle w:val="Heading2"/>
      </w:pPr>
      <w:r>
        <w:t xml:space="preserve">1. Introduction</w:t>
      </w:r>
    </w:p>
    <w:p>
      <w:pPr>
        <w:pStyle w:val="FirstParagraph"/>
      </w:pPr>
      <w:r>
        <w:t xml:space="preserve">The global energy landscape is undergoing a profound transformation, with nations prioritizing decarbonization while maintaining energy security. In this context, the role of the</w:t>
      </w:r>
      <w:r>
        <w:t xml:space="preserve"> </w:t>
      </w:r>
      <w:r>
        <w:rPr>
          <w:bCs/>
          <w:b/>
        </w:rPr>
        <w:t xml:space="preserve">Petroleum Engineer</w:t>
      </w:r>
      <w:r>
        <w:t xml:space="preserve"> </w:t>
      </w:r>
      <w:r>
        <w:t xml:space="preserve">is evolving beyond conventional hydrocarbon extraction toward sustainable resource management. This Thesis Proposal outlines a research initiative focused on leveraging petroleum engineering principles to advance New Zealand's transition to renewable energy, with Wellington as the strategic hub for innovation and policy development. As New Zealand's capital city and home to key institutions like GNS Science, Victoria University of Wellington, and the Ministry for Business, Innovation and Employment (MBIE),</w:t>
      </w:r>
      <w:r>
        <w:t xml:space="preserve"> </w:t>
      </w:r>
      <w:r>
        <w:rPr>
          <w:bCs/>
          <w:b/>
        </w:rPr>
        <w:t xml:space="preserve">New Zealand Wellington</w:t>
      </w:r>
      <w:r>
        <w:t xml:space="preserve"> </w:t>
      </w:r>
      <w:r>
        <w:t xml:space="preserve">offers a unique environment to bridge technical expertise with national energy strategy.</w:t>
      </w:r>
    </w:p>
    <w:bookmarkEnd w:id="20"/>
    <w:bookmarkStart w:id="21" w:name="problem-statement"/>
    <w:p>
      <w:pPr>
        <w:pStyle w:val="Heading2"/>
      </w:pPr>
      <w:r>
        <w:t xml:space="preserve">2. Problem Statement</w:t>
      </w:r>
    </w:p>
    <w:p>
      <w:pPr>
        <w:pStyle w:val="FirstParagraph"/>
      </w:pPr>
      <w:r>
        <w:t xml:space="preserve">New Zealand faces a critical challenge: balancing its commitment to net-zero emissions by 2050 with the need for reliable, affordable energy during the transition. While geothermal and renewable sources dominate New Zealand's grid (73% in 2023), emerging opportunities exist in carbon capture, utilization, and storage (CCUS), hydrogen production from low-carbon resources, and advanced geothermal systems. However, technical gaps persist in adapting petroleum engineering methodologies to these new energy vectors. Crucially,</w:t>
      </w:r>
      <w:r>
        <w:t xml:space="preserve"> </w:t>
      </w:r>
      <w:r>
        <w:rPr>
          <w:bCs/>
          <w:b/>
        </w:rPr>
        <w:t xml:space="preserve">New Zealand Wellington</w:t>
      </w:r>
      <w:r>
        <w:t xml:space="preserve"> </w:t>
      </w:r>
      <w:r>
        <w:t xml:space="preserve">lacks a coordinated framework where</w:t>
      </w:r>
      <w:r>
        <w:t xml:space="preserve"> </w:t>
      </w:r>
      <w:r>
        <w:rPr>
          <w:bCs/>
          <w:b/>
        </w:rPr>
        <w:t xml:space="preserve">Petroleum Engineer</w:t>
      </w:r>
      <w:r>
        <w:t xml:space="preserve">s can directly contribute to national decarbonization efforts through applied research. This proposal addresses the urgent need for petroleum engineers to pivot toward sustainable solutions, avoiding obsolescence while supporting New Zealand's climate commitments.</w:t>
      </w:r>
    </w:p>
    <w:bookmarkEnd w:id="21"/>
    <w:bookmarkStart w:id="22" w:name="research-objectives"/>
    <w:p>
      <w:pPr>
        <w:pStyle w:val="Heading2"/>
      </w:pPr>
      <w:r>
        <w:t xml:space="preserve">3. Research Objectives</w:t>
      </w:r>
    </w:p>
    <w:p>
      <w:pPr>
        <w:numPr>
          <w:ilvl w:val="0"/>
          <w:numId w:val="1001"/>
        </w:numPr>
        <w:pStyle w:val="Compact"/>
      </w:pPr>
      <w:r>
        <w:t xml:space="preserve">To evaluate the transferability of petroleum engineering skills (reservoir modeling, fluid dynamics, drilling optimization) to geothermal energy and CCUS projects in New Zealand's Taranaki Basin and Taupō Volcanic Zone.</w:t>
      </w:r>
    </w:p>
    <w:p>
      <w:pPr>
        <w:numPr>
          <w:ilvl w:val="0"/>
          <w:numId w:val="1001"/>
        </w:numPr>
        <w:pStyle w:val="Compact"/>
      </w:pPr>
      <w:r>
        <w:t xml:space="preserve">To develop a framework for petroleum engineers to contribute to New Zealand's Energy Strategy 2023-2050 through policy-relevant technical assessments.</w:t>
      </w:r>
    </w:p>
    <w:p>
      <w:pPr>
        <w:numPr>
          <w:ilvl w:val="0"/>
          <w:numId w:val="1001"/>
        </w:numPr>
        <w:pStyle w:val="Compact"/>
      </w:pPr>
      <w:r>
        <w:t xml:space="preserve">To establish a pilot project in Wellington demonstrating how petroleum engineering expertise accelerates the deployment of sustainable energy infrastructure, with focus on carbon storage potential in depleted oil/gas reservoirs.</w:t>
      </w:r>
    </w:p>
    <w:bookmarkEnd w:id="22"/>
    <w:bookmarkStart w:id="23" w:name="significance-to-new-zealand-wellington"/>
    <w:p>
      <w:pPr>
        <w:pStyle w:val="Heading2"/>
      </w:pPr>
      <w:r>
        <w:t xml:space="preserve">4. Significance to New Zealand Wellington</w:t>
      </w:r>
    </w:p>
    <w:p>
      <w:pPr>
        <w:pStyle w:val="FirstParagraph"/>
      </w:pPr>
      <w:r>
        <w:t xml:space="preserve">This research directly aligns with Wellington's status as New Zealand's innovation capital and climate leadership center. The city hosts the Energy Efficiency and Conservation Authority (EECA), the Climate Change Commission, and leading geoscience institutes—making it ideal for cross-sector collaboration. By embedding petroleum engineering within Wellington's energy ecosystem, this thesis will:</w:t>
      </w:r>
    </w:p>
    <w:p>
      <w:pPr>
        <w:numPr>
          <w:ilvl w:val="0"/>
          <w:numId w:val="1002"/>
        </w:numPr>
        <w:pStyle w:val="Compact"/>
      </w:pPr>
      <w:r>
        <w:t xml:space="preserve">Position New Zealand as a global leader in "green petroleum engineering" – redefining the profession for sustainability.</w:t>
      </w:r>
    </w:p>
    <w:p>
      <w:pPr>
        <w:numPr>
          <w:ilvl w:val="0"/>
          <w:numId w:val="1002"/>
        </w:numPr>
        <w:pStyle w:val="Compact"/>
      </w:pPr>
      <w:r>
        <w:t xml:space="preserve">Generate actionable insights for Wellington-based policymakers to integrate technical expertise into climate legislation.</w:t>
      </w:r>
    </w:p>
    <w:p>
      <w:pPr>
        <w:numPr>
          <w:ilvl w:val="0"/>
          <w:numId w:val="1002"/>
        </w:numPr>
        <w:pStyle w:val="Compact"/>
      </w:pPr>
      <w:r>
        <w:t xml:space="preserve">Create a talent pipeline where petroleum engineers transition from fossil fuels to renewable energy careers, addressing skills shortages identified in the 2023 Energy Workforce Report.</w:t>
      </w:r>
    </w:p>
    <w:bookmarkEnd w:id="23"/>
    <w:bookmarkStart w:id="24" w:name="literature-review-key-gaps"/>
    <w:p>
      <w:pPr>
        <w:pStyle w:val="Heading2"/>
      </w:pPr>
      <w:r>
        <w:t xml:space="preserve">5. Literature Review (Key Gaps)</w:t>
      </w:r>
    </w:p>
    <w:p>
      <w:pPr>
        <w:pStyle w:val="FirstParagraph"/>
      </w:pPr>
      <w:r>
        <w:t xml:space="preserve">Current literature predominantly focuses on petroleum engineering's role in hydrocarbon extraction (e.g., Al-Maamari et al., 2019) or generic renewable transitions (e.g., IPCC, 2023). However, no studies examine:</w:t>
      </w:r>
    </w:p>
    <w:p>
      <w:pPr>
        <w:numPr>
          <w:ilvl w:val="0"/>
          <w:numId w:val="1003"/>
        </w:numPr>
        <w:pStyle w:val="Compact"/>
      </w:pPr>
      <w:r>
        <w:t xml:space="preserve">The technical adaptation of petroleum workflows to geothermal systems in New Zealand's unique tectonic setting.</w:t>
      </w:r>
    </w:p>
    <w:p>
      <w:pPr>
        <w:numPr>
          <w:ilvl w:val="0"/>
          <w:numId w:val="1003"/>
        </w:numPr>
        <w:pStyle w:val="Compact"/>
      </w:pPr>
      <w:r>
        <w:t xml:space="preserve">Policy mechanisms for integrating petroleum engineers into national decarbonization strategies.</w:t>
      </w:r>
    </w:p>
    <w:p>
      <w:pPr>
        <w:numPr>
          <w:ilvl w:val="0"/>
          <w:numId w:val="1003"/>
        </w:numPr>
        <w:pStyle w:val="Compact"/>
      </w:pPr>
      <w:r>
        <w:t xml:space="preserve">Case studies demonstrating cost-benefit analysis of repurposing oil/gas infrastructure (e.g., Taranaki fields) for carbon storage.</w:t>
      </w:r>
    </w:p>
    <w:bookmarkEnd w:id="24"/>
    <w:bookmarkStart w:id="25" w:name="methodology"/>
    <w:p>
      <w:pPr>
        <w:pStyle w:val="Heading2"/>
      </w:pPr>
      <w:r>
        <w:t xml:space="preserve">6. Methodology</w:t>
      </w:r>
    </w:p>
    <w:p>
      <w:pPr>
        <w:pStyle w:val="FirstParagraph"/>
      </w:pPr>
      <w:r>
        <w:t xml:space="preserve">This mixed-methods study will deploy three interconnected approaches:</w:t>
      </w:r>
    </w:p>
    <w:p>
      <w:pPr>
        <w:numPr>
          <w:ilvl w:val="0"/>
          <w:numId w:val="1004"/>
        </w:numPr>
        <w:pStyle w:val="Compact"/>
      </w:pPr>
      <w:r>
        <w:rPr>
          <w:bCs/>
          <w:b/>
        </w:rPr>
        <w:t xml:space="preserve">Technical Assessment:</w:t>
      </w:r>
      <w:r>
        <w:t xml:space="preserve"> </w:t>
      </w:r>
      <w:r>
        <w:t xml:space="preserve">Collaborate with GNS Science (Wellington) to model CO</w:t>
      </w:r>
      <w:r>
        <w:rPr>
          <w:vertAlign w:val="subscript"/>
        </w:rPr>
        <w:t xml:space="preserve">2</w:t>
      </w:r>
      <w:r>
        <w:t xml:space="preserve"> </w:t>
      </w:r>
      <w:r>
        <w:t xml:space="preserve">storage capacity in depleted Taranaki reservoirs using petroleum engineering software (e.g., Petrel®), calibrated with Wellington-based geophysical data.</w:t>
      </w:r>
    </w:p>
    <w:p>
      <w:pPr>
        <w:numPr>
          <w:ilvl w:val="0"/>
          <w:numId w:val="1004"/>
        </w:numPr>
        <w:pStyle w:val="Compact"/>
      </w:pPr>
      <w:r>
        <w:rPr>
          <w:bCs/>
          <w:b/>
        </w:rPr>
        <w:t xml:space="preserve">Policy Analysis:</w:t>
      </w:r>
      <w:r>
        <w:t xml:space="preserve"> </w:t>
      </w:r>
      <w:r>
        <w:t xml:space="preserve">Interview 15+ stakeholders from MBIE, EECA, and energy firms in New Zealand Wellington to map institutional barriers and opportunities for petroleum engineers in clean energy projects.</w:t>
      </w:r>
    </w:p>
    <w:p>
      <w:pPr>
        <w:numPr>
          <w:ilvl w:val="0"/>
          <w:numId w:val="1004"/>
        </w:numPr>
        <w:pStyle w:val="Compact"/>
      </w:pPr>
      <w:r>
        <w:rPr>
          <w:bCs/>
          <w:b/>
        </w:rPr>
        <w:t xml:space="preserve">Stakeholder Workshop:</w:t>
      </w:r>
      <w:r>
        <w:t xml:space="preserve"> </w:t>
      </w:r>
      <w:r>
        <w:t xml:space="preserve">Facilitate a co-creation workshop with Wellington-based industry leaders (e.g., Contact Energy, Mercury NZ) to develop a "Petroleum Engineer Transition Toolkit" for sustainable career pathways.</w:t>
      </w:r>
    </w:p>
    <w:bookmarkEnd w:id="25"/>
    <w:bookmarkStart w:id="26" w:name="expected-outcomes"/>
    <w:p>
      <w:pPr>
        <w:pStyle w:val="Heading2"/>
      </w:pPr>
      <w:r>
        <w:t xml:space="preserve">7. Expected Outcomes</w:t>
      </w:r>
    </w:p>
    <w:p>
      <w:pPr>
        <w:pStyle w:val="FirstParagraph"/>
      </w:pPr>
      <w:r>
        <w:t xml:space="preserve">This research will deliver:</w:t>
      </w:r>
    </w:p>
    <w:p>
      <w:pPr>
        <w:numPr>
          <w:ilvl w:val="0"/>
          <w:numId w:val="1005"/>
        </w:numPr>
        <w:pStyle w:val="Compact"/>
      </w:pPr>
      <w:r>
        <w:t xml:space="preserve">A validated technical framework for petroleum engineers to contribute to CCUS/geothermal projects, with case studies applicable across New Zealand's energy sector.</w:t>
      </w:r>
    </w:p>
    <w:p>
      <w:pPr>
        <w:numPr>
          <w:ilvl w:val="0"/>
          <w:numId w:val="1005"/>
        </w:numPr>
        <w:pStyle w:val="Compact"/>
      </w:pPr>
      <w:r>
        <w:t xml:space="preserve">Policy recommendations for the Wellington government to establish a "Sustainable Energy Engineering" certification pathway, recognized by the Institute of Professional Engineers (IPENZ) and aligned with New Zealand’s Emissions Reduction Plan.</w:t>
      </w:r>
    </w:p>
    <w:p>
      <w:pPr>
        <w:numPr>
          <w:ilvl w:val="0"/>
          <w:numId w:val="1005"/>
        </w:numPr>
        <w:pStyle w:val="Compact"/>
      </w:pPr>
      <w:r>
        <w:t xml:space="preserve">A pilot project demonstrating cost savings from repurposing existing Taranaki infrastructure for carbon storage, targeting 20% reduction in deployment costs compared to new-build alternatives.</w:t>
      </w:r>
    </w:p>
    <w:bookmarkEnd w:id="26"/>
    <w:bookmarkStart w:id="27" w:name="timeline-18-months"/>
    <w:p>
      <w:pPr>
        <w:pStyle w:val="Heading2"/>
      </w:pPr>
      <w:r>
        <w:t xml:space="preserve">8. Timeline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Stakeholder Mapping</w:t>
            </w:r>
          </w:p>
        </w:tc>
        <w:tc>
          <w:tcPr/>
          <w:p>
            <w:pPr>
              <w:pStyle w:val="Compact"/>
              <w:jc w:val="left"/>
            </w:pPr>
            <w:r>
              <w:t xml:space="preserve">1-3</w:t>
            </w:r>
          </w:p>
        </w:tc>
        <w:tc>
          <w:tcPr/>
          <w:p>
            <w:pPr>
              <w:pStyle w:val="Compact"/>
              <w:jc w:val="left"/>
            </w:pPr>
            <w:r>
              <w:t xml:space="preserve">Annotated bibliography; Stakeholder engagement plan (Wellington-based)</w:t>
            </w:r>
          </w:p>
        </w:tc>
      </w:tr>
      <w:tr>
        <w:tc>
          <w:tcPr/>
          <w:p>
            <w:pPr>
              <w:pStyle w:val="Compact"/>
              <w:jc w:val="left"/>
            </w:pPr>
            <w:r>
              <w:t xml:space="preserve">Technical Modeling &amp; Data Collection</w:t>
            </w:r>
          </w:p>
        </w:tc>
        <w:tc>
          <w:tcPr/>
          <w:p>
            <w:pPr>
              <w:pStyle w:val="Compact"/>
              <w:jc w:val="left"/>
            </w:pPr>
            <w:r>
              <w:t xml:space="preserve">4-9</w:t>
            </w:r>
          </w:p>
        </w:tc>
        <w:tc>
          <w:tcPr/>
          <w:p>
            <w:pPr>
              <w:pStyle w:val="Compact"/>
              <w:jc w:val="left"/>
            </w:pPr>
            <w:r>
              <w:t xml:space="preserve">Capture capacity model; Preliminary CO</w:t>
            </w:r>
            <w:r>
              <w:rPr>
                <w:vertAlign w:val="subscript"/>
              </w:rPr>
              <w:t xml:space="preserve">2</w:t>
            </w:r>
            <w:r>
              <w:t xml:space="preserve"> </w:t>
            </w:r>
            <w:r>
              <w:t xml:space="preserve">storage assessment report</w:t>
            </w:r>
          </w:p>
        </w:tc>
      </w:tr>
      <w:tr>
        <w:tc>
          <w:tcPr/>
          <w:p>
            <w:pPr>
              <w:pStyle w:val="Compact"/>
              <w:jc w:val="left"/>
            </w:pPr>
            <w:r>
              <w:t xml:space="preserve">Policy Analysis &amp; Workshop Development</w:t>
            </w:r>
          </w:p>
        </w:tc>
        <w:tc>
          <w:tcPr/>
          <w:p>
            <w:pPr>
              <w:pStyle w:val="Compact"/>
              <w:jc w:val="left"/>
            </w:pPr>
            <w:r>
              <w:t xml:space="preserve">10-13</w:t>
            </w:r>
          </w:p>
        </w:tc>
        <w:tc>
          <w:tcPr/>
          <w:p>
            <w:pPr>
              <w:pStyle w:val="Compact"/>
              <w:jc w:val="left"/>
            </w:pPr>
            <w:r>
              <w:t xml:space="preserve">Stakeholder report; Transition Toolkit draft (Wellington workshop)</w:t>
            </w:r>
          </w:p>
        </w:tc>
      </w:tr>
      <w:tr>
        <w:tc>
          <w:tcPr/>
          <w:p>
            <w:pPr>
              <w:pStyle w:val="Compact"/>
              <w:jc w:val="left"/>
            </w:pPr>
            <w:r>
              <w:t xml:space="preserve">Integration, Refinement &amp; Thesis Finalization</w:t>
            </w:r>
          </w:p>
        </w:tc>
        <w:tc>
          <w:tcPr/>
          <w:p>
            <w:pPr>
              <w:pStyle w:val="Compact"/>
              <w:jc w:val="left"/>
            </w:pPr>
            <w:r>
              <w:t xml:space="preserve">14-18</w:t>
            </w:r>
          </w:p>
        </w:tc>
        <w:tc>
          <w:tcPr/>
          <w:p>
            <w:pPr>
              <w:pStyle w:val="Compact"/>
              <w:jc w:val="left"/>
            </w:pPr>
            <w:r>
              <w:t xml:space="preserve">Complete Thesis Proposal; Policy brief for Wellington government</w:t>
            </w:r>
          </w:p>
        </w:tc>
      </w:tr>
    </w:tbl>
    <w:bookmarkEnd w:id="27"/>
    <w:bookmarkStart w:id="28" w:name="X2f680bfca1d00b9c3d20e289ce4dadf30300601"/>
    <w:p>
      <w:pPr>
        <w:pStyle w:val="Heading2"/>
      </w:pPr>
      <w:r>
        <w:t xml:space="preserve">9. Conclusion: Why This Matters for New Zealand Wellington</w:t>
      </w:r>
    </w:p>
    <w:p>
      <w:pPr>
        <w:pStyle w:val="FirstParagraph"/>
      </w:pPr>
      <w:r>
        <w:t xml:space="preserve">The proposed Thesis Proposal transcends academic inquiry to address a national imperative. As the world’s 15th-largest oil producer in terms of reserves (though largely unexploited due to environmental policies), New Zealand must harness petroleum engineering's legacy of subsurface expertise for climate solutions. By anchoring this research in</w:t>
      </w:r>
      <w:r>
        <w:t xml:space="preserve"> </w:t>
      </w:r>
      <w:r>
        <w:rPr>
          <w:bCs/>
          <w:b/>
        </w:rPr>
        <w:t xml:space="preserve">New Zealand Wellington</w:t>
      </w:r>
      <w:r>
        <w:t xml:space="preserve">—where science, policy, and industry converge—the thesis will demonstrate how the profession can evolve from extraction to stewardship. For the</w:t>
      </w:r>
      <w:r>
        <w:t xml:space="preserve"> </w:t>
      </w:r>
      <w:r>
        <w:rPr>
          <w:bCs/>
          <w:b/>
        </w:rPr>
        <w:t xml:space="preserve">Petroleum Engineer</w:t>
      </w:r>
      <w:r>
        <w:t xml:space="preserve">, this represents a pivotal career transition; for New Zealand, it offers a pragmatic pathway to energy security without compromising environmental values. This work positions Wellington not merely as a capital city but as the crucible for redefining global petroleum engineering in the 21st century.</w:t>
      </w:r>
    </w:p>
    <w:bookmarkEnd w:id="28"/>
    <w:bookmarkStart w:id="29" w:name="references-selected"/>
    <w:p>
      <w:pPr>
        <w:pStyle w:val="Heading2"/>
      </w:pPr>
      <w:r>
        <w:t xml:space="preserve">References (Selected)</w:t>
      </w:r>
    </w:p>
    <w:p>
      <w:pPr>
        <w:numPr>
          <w:ilvl w:val="0"/>
          <w:numId w:val="1006"/>
        </w:numPr>
        <w:pStyle w:val="Compact"/>
      </w:pPr>
      <w:r>
        <w:t xml:space="preserve">Ministry for Business, Innovation and Employment (MBIE). (2023). *New Zealand Energy Strategy 2023-2050*. Wellington: Government Publishing Service.</w:t>
      </w:r>
    </w:p>
    <w:p>
      <w:pPr>
        <w:numPr>
          <w:ilvl w:val="0"/>
          <w:numId w:val="1006"/>
        </w:numPr>
        <w:pStyle w:val="Compact"/>
      </w:pPr>
      <w:r>
        <w:t xml:space="preserve">IPCC. (2023). *Climate Change 2023: Synthesis Report*. Geneva: Intergovernmental Panel on Climate Change.</w:t>
      </w:r>
    </w:p>
    <w:p>
      <w:pPr>
        <w:numPr>
          <w:ilvl w:val="0"/>
          <w:numId w:val="1006"/>
        </w:numPr>
        <w:pStyle w:val="Compact"/>
      </w:pPr>
      <w:r>
        <w:t xml:space="preserve">GNS Science. (2024). *Geothermal Energy in New Zealand: Current Status and Future Potential*. Wellington Technical Report.</w:t>
      </w:r>
    </w:p>
    <w:p>
      <w:pPr>
        <w:numPr>
          <w:ilvl w:val="0"/>
          <w:numId w:val="1006"/>
        </w:numPr>
        <w:pStyle w:val="Compact"/>
      </w:pPr>
      <w:r>
        <w:t xml:space="preserve">Energy Efficiency and Conservation Authority (EECA). (2023). *New Zealand Energy Workforce Survey*. Wellington: EECA.</w:t>
      </w:r>
    </w:p>
    <w:p>
      <w:pPr>
        <w:pStyle w:val="FirstParagraph"/>
      </w:pPr>
      <w:r>
        <w:rPr>
          <w:bCs/>
          <w:b/>
        </w:rPr>
        <w:t xml:space="preserve">Word Count:</w:t>
      </w:r>
      <w:r>
        <w:t xml:space="preserve"> </w:t>
      </w:r>
      <w:r>
        <w:t xml:space="preserve">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Through Petroleum Engineering in New Zealand Wellington</dc:title>
  <dc:creator/>
  <dc:language>en</dc:language>
  <cp:keywords/>
  <dcterms:created xsi:type="dcterms:W3CDTF">2025-12-08T16:40:37Z</dcterms:created>
  <dcterms:modified xsi:type="dcterms:W3CDTF">2025-12-08T16:40:37Z</dcterms:modified>
</cp:coreProperties>
</file>

<file path=docProps/custom.xml><?xml version="1.0" encoding="utf-8"?>
<Properties xmlns="http://schemas.openxmlformats.org/officeDocument/2006/custom-properties" xmlns:vt="http://schemas.openxmlformats.org/officeDocument/2006/docPropsVTypes"/>
</file>