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Reservoir</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Energy</w:t>
      </w:r>
      <w:r>
        <w:t xml:space="preserve"> </w:t>
      </w:r>
      <w:r>
        <w:t xml:space="preserve">Development</w:t>
      </w:r>
      <w:r>
        <w:t xml:space="preserve"> </w:t>
      </w:r>
      <w:r>
        <w:t xml:space="preserve">in</w:t>
      </w:r>
      <w:r>
        <w:t xml:space="preserve"> </w:t>
      </w:r>
      <w:r>
        <w:t xml:space="preserve">Russia</w:t>
      </w:r>
      <w:r>
        <w:t xml:space="preserve"> </w:t>
      </w:r>
      <w:r>
        <w:t xml:space="preserve">Moscow</w:t>
      </w:r>
    </w:p>
    <w:bookmarkStart w:id="28" w:name="Xfeb30d1920b0991c02761c1d38807b532088686"/>
    <w:p>
      <w:pPr>
        <w:pStyle w:val="Heading1"/>
      </w:pPr>
      <w:r>
        <w:t xml:space="preserve">Thesis Proposal: Integrating Digital Innovation and Environmental Stewardship in Modern Petroleum Engineer Practices within Russia Moscow</w:t>
      </w:r>
    </w:p>
    <w:bookmarkStart w:id="20" w:name="introduction-and-background"/>
    <w:p>
      <w:pPr>
        <w:pStyle w:val="Heading2"/>
      </w:pPr>
      <w:r>
        <w:t xml:space="preserve">1. Introduction and Background</w:t>
      </w:r>
    </w:p>
    <w:p>
      <w:pPr>
        <w:pStyle w:val="FirstParagraph"/>
      </w:pPr>
      <w:r>
        <w:t xml:space="preserve">The Russian Federation remains a cornerstone of global energy markets, contributing over 10% of the world's oil production with its vast hydrocarbon reserves primarily located in Western Siberia, the Arctic Shelf, and the Volga-Urals region. As Moscow serves as the strategic nerve center for Russia's energy sector—housing headquarters of major players like Gazprom Neft, Rosneft, and Lukoil—the role of the</w:t>
      </w:r>
      <w:r>
        <w:t xml:space="preserve"> </w:t>
      </w:r>
      <w:r>
        <w:rPr>
          <w:iCs/>
          <w:i/>
        </w:rPr>
        <w:t xml:space="preserve">Petroleum Engineer</w:t>
      </w:r>
      <w:r>
        <w:t xml:space="preserve"> </w:t>
      </w:r>
      <w:r>
        <w:t xml:space="preserve">has evolved beyond conventional extraction to encompass complex sustainability challenges. This Thesis Proposal addresses a critical gap in optimizing reservoir management for declining conventional fields while meeting stringent environmental regulations under the Russian Energy Strategy 2035. With Moscow as the epicenter of policy formulation and technological innovation, this research directly responds to national priorities requiring Petroleum Engineers to balance economic output with ecological responsibility across Russia's diverse geological landscapes.</w:t>
      </w:r>
    </w:p>
    <w:bookmarkEnd w:id="20"/>
    <w:bookmarkStart w:id="21" w:name="problem-statement"/>
    <w:p>
      <w:pPr>
        <w:pStyle w:val="Heading2"/>
      </w:pPr>
      <w:r>
        <w:t xml:space="preserve">2. Problem Statement</w:t>
      </w:r>
    </w:p>
    <w:p>
      <w:pPr>
        <w:pStyle w:val="FirstParagraph"/>
      </w:pPr>
      <w:r>
        <w:t xml:space="preserve">Russia's petroleum industry faces unprecedented challenges: declining production from mature fields (e.g., West-Siberian basins), rising operational costs in Arctic regions, and pressure to reduce methane emissions by 50% by 2030 under the Paris Agreement. Current reservoir modeling practices in Russia Moscow rely heavily on legacy software and analog-based approaches, resulting in inefficient recovery factors (often below 35%) compared to global benchmarks (&gt;50%). Crucially, there is a disconnect between theoretical petroleum engineering education at Moscow institutions like the Russian Petroleum University and practical implementation needs of field operations. This Thesis Proposal identifies an urgent need to develop a framework that integrates real-time data analytics, AI-driven reservoir simulation, and carbon footprint assessment specifically tailored for Russia's unique operational context—addressing both technical gaps and the evolving demands on the Petroleum Engineer profession in Moscow.</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to advance petroleum engineering practices within Russia Moscow:</w:t>
      </w:r>
    </w:p>
    <w:p>
      <w:pPr>
        <w:numPr>
          <w:ilvl w:val="0"/>
          <w:numId w:val="1001"/>
        </w:numPr>
        <w:pStyle w:val="Compact"/>
      </w:pPr>
      <w:r>
        <w:rPr>
          <w:bCs/>
          <w:b/>
        </w:rPr>
        <w:t xml:space="preserve">Evaluate Current Practices:</w:t>
      </w:r>
      <w:r>
        <w:t xml:space="preserve"> </w:t>
      </w:r>
      <w:r>
        <w:t xml:space="preserve">Conduct a sector-wide assessment of reservoir management workflows at 15+ Moscow-headquartered oil companies (including joint ventures) to identify technical, regulatory, and skill gaps in contemporary Petroleum Engineer execution.</w:t>
      </w:r>
    </w:p>
    <w:p>
      <w:pPr>
        <w:numPr>
          <w:ilvl w:val="0"/>
          <w:numId w:val="1001"/>
        </w:numPr>
        <w:pStyle w:val="Compact"/>
      </w:pPr>
      <w:r>
        <w:rPr>
          <w:bCs/>
          <w:b/>
        </w:rPr>
        <w:t xml:space="preserve">Develop an Integrated Digital Framework:</w:t>
      </w:r>
      <w:r>
        <w:t xml:space="preserve"> </w:t>
      </w:r>
      <w:r>
        <w:t xml:space="preserve">Design a scalable digital twin platform for Russian reservoirs incorporating machine learning algorithms trained on Russia-specific geological data (e.g., permafrost dynamics in Yamal Peninsula fields), enabling predictive analytics for enhanced oil recovery (EOR) and emissions tracking.</w:t>
      </w:r>
    </w:p>
    <w:p>
      <w:pPr>
        <w:numPr>
          <w:ilvl w:val="0"/>
          <w:numId w:val="1001"/>
        </w:numPr>
        <w:pStyle w:val="Compact"/>
      </w:pPr>
      <w:r>
        <w:rPr>
          <w:bCs/>
          <w:b/>
        </w:rPr>
        <w:t xml:space="preserve">Establish Sustainability Metrics:</w:t>
      </w:r>
      <w:r>
        <w:t xml:space="preserve"> </w:t>
      </w:r>
      <w:r>
        <w:t xml:space="preserve">Propose standardized KPIs linking Petroleum Engineer workflows to Russia's "Green Oil" initiative—measuring carbon intensity, water recycling rates, and ecosystem impact alongside traditional production metrics.</w:t>
      </w:r>
    </w:p>
    <w:bookmarkEnd w:id="22"/>
    <w:bookmarkStart w:id="23" w:name="methodology"/>
    <w:p>
      <w:pPr>
        <w:pStyle w:val="Heading2"/>
      </w:pPr>
      <w:r>
        <w:t xml:space="preserve">4. Methodology</w:t>
      </w:r>
    </w:p>
    <w:p>
      <w:pPr>
        <w:pStyle w:val="FirstParagraph"/>
      </w:pPr>
      <w:r>
        <w:t xml:space="preserve">The research adopts a mixed-methods approach grounded in Moscow's industrial ecosystem:</w:t>
      </w:r>
    </w:p>
    <w:p>
      <w:pPr>
        <w:numPr>
          <w:ilvl w:val="0"/>
          <w:numId w:val="1002"/>
        </w:numPr>
        <w:pStyle w:val="Compact"/>
      </w:pPr>
      <w:r>
        <w:rPr>
          <w:bCs/>
          <w:b/>
        </w:rPr>
        <w:t xml:space="preserve">Field Data Analysis:</w:t>
      </w:r>
      <w:r>
        <w:t xml:space="preserve"> </w:t>
      </w:r>
      <w:r>
        <w:t xml:space="preserve">Collaborate with Rosneft's Moscow-based technical center to access anonymized production data from 3 key fields (e.g., Samotlor, Novoportovskoye), applying Python-based geostatistical modeling to assess recovery efficiency.</w:t>
      </w:r>
    </w:p>
    <w:p>
      <w:pPr>
        <w:numPr>
          <w:ilvl w:val="0"/>
          <w:numId w:val="1002"/>
        </w:numPr>
        <w:pStyle w:val="Compact"/>
      </w:pPr>
      <w:r>
        <w:rPr>
          <w:bCs/>
          <w:b/>
        </w:rPr>
        <w:t xml:space="preserve">Stakeholder Engagement:</w:t>
      </w:r>
      <w:r>
        <w:t xml:space="preserve"> </w:t>
      </w:r>
      <w:r>
        <w:t xml:space="preserve">Conduct structured interviews with 25+ Petroleum Engineers across Moscow offices of major producers, engineering firms (e.g., TechnipFMC Russia), and regulators like Rosneft's Environmental Department to validate framework requirements.</w:t>
      </w:r>
    </w:p>
    <w:p>
      <w:pPr>
        <w:numPr>
          <w:ilvl w:val="0"/>
          <w:numId w:val="1002"/>
        </w:numPr>
        <w:pStyle w:val="Compact"/>
      </w:pPr>
      <w:r>
        <w:rPr>
          <w:bCs/>
          <w:b/>
        </w:rPr>
        <w:t xml:space="preserve">Digital Simulation:</w:t>
      </w:r>
      <w:r>
        <w:t xml:space="preserve"> </w:t>
      </w:r>
      <w:r>
        <w:t xml:space="preserve">Utilize Siemens PLM software (deployed at Moscow's Skolkovo Innovation Center) to build a virtual reservoir model incorporating Russian geomechanical data, testing AI-driven well placement strategies under variable climate conditions.</w:t>
      </w:r>
    </w:p>
    <w:p>
      <w:pPr>
        <w:numPr>
          <w:ilvl w:val="0"/>
          <w:numId w:val="1002"/>
        </w:numPr>
        <w:pStyle w:val="Compact"/>
      </w:pPr>
      <w:r>
        <w:rPr>
          <w:bCs/>
          <w:b/>
        </w:rPr>
        <w:t xml:space="preserve">Policy Integration:</w:t>
      </w:r>
      <w:r>
        <w:t xml:space="preserve"> </w:t>
      </w:r>
      <w:r>
        <w:t xml:space="preserve">Map outcomes against Russia's 2023 Federal Law on Emissions Trading and Moscow Mayor’s Climate Action Plan to ensure regulatory alignment.</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transformative outcomes for both academia and industry in Russia Moscow:</w:t>
      </w:r>
    </w:p>
    <w:p>
      <w:pPr>
        <w:numPr>
          <w:ilvl w:val="0"/>
          <w:numId w:val="1003"/>
        </w:numPr>
        <w:pStyle w:val="Compact"/>
      </w:pPr>
      <w:r>
        <w:rPr>
          <w:bCs/>
          <w:b/>
        </w:rPr>
        <w:t xml:space="preserve">Practical Framework:</w:t>
      </w:r>
      <w:r>
        <w:t xml:space="preserve"> </w:t>
      </w:r>
      <w:r>
        <w:t xml:space="preserve">A deployable digital toolkit for Petroleum Engineers to reduce EOR implementation time by 30% while cutting carbon intensity—addressing the critical need for Moscow-based companies to meet national decarbonization targets.</w:t>
      </w:r>
    </w:p>
    <w:p>
      <w:pPr>
        <w:numPr>
          <w:ilvl w:val="0"/>
          <w:numId w:val="1003"/>
        </w:numPr>
        <w:pStyle w:val="Compact"/>
      </w:pPr>
      <w:r>
        <w:rPr>
          <w:bCs/>
          <w:b/>
        </w:rPr>
        <w:t xml:space="preserve">Educational Impact:</w:t>
      </w:r>
      <w:r>
        <w:t xml:space="preserve"> </w:t>
      </w:r>
      <w:r>
        <w:t xml:space="preserve">Revised curriculum modules for Moscow petroleum engineering programs incorporating Russia-specific case studies (e.g., Sakhalin-1 offshore field optimization), bridging the theory-practice gap in Petroleum Engineer training.</w:t>
      </w:r>
    </w:p>
    <w:p>
      <w:pPr>
        <w:numPr>
          <w:ilvl w:val="0"/>
          <w:numId w:val="1003"/>
        </w:numPr>
        <w:pStyle w:val="Compact"/>
      </w:pPr>
      <w:r>
        <w:rPr>
          <w:bCs/>
          <w:b/>
        </w:rPr>
        <w:t xml:space="preserve">Strategic Value:</w:t>
      </w:r>
      <w:r>
        <w:t xml:space="preserve"> </w:t>
      </w:r>
      <w:r>
        <w:t xml:space="preserve">Evidence-based recommendations for the Russian Ministry of Energy to update technical standards, positioning Moscow as a global leader in sustainable oil development rather than merely a producer.</w:t>
      </w:r>
    </w:p>
    <w:p>
      <w:pPr>
        <w:pStyle w:val="FirstParagraph"/>
      </w:pPr>
      <w:r>
        <w:t xml:space="preserve">The significance extends beyond economics: By embedding environmental stewardship into the core workflow of every Petroleum Engineer operating in Russia Moscow, this research directly supports national security through energy independence while contributing to global climate goals. The proposed framework is designed for scalability across Russia's 200+ oil fields and aligns with Moscow’s vision to host the Energy Transition Summit 2026.</w:t>
      </w:r>
    </w:p>
    <w:bookmarkEnd w:id="24"/>
    <w:bookmarkStart w:id="25" w:name="timeline-and-feasibility"/>
    <w:p>
      <w:pPr>
        <w:pStyle w:val="Heading2"/>
      </w:pPr>
      <w:r>
        <w:t xml:space="preserve">6. Timeline and Feasibility</w:t>
      </w:r>
    </w:p>
    <w:p>
      <w:pPr>
        <w:pStyle w:val="FirstParagraph"/>
      </w:pPr>
      <w:r>
        <w:t xml:space="preserve">Conducting this research from a Moscow-based academic perspective ensures optimal feasibility:</w:t>
      </w:r>
    </w:p>
    <w:p>
      <w:pPr>
        <w:numPr>
          <w:ilvl w:val="0"/>
          <w:numId w:val="1004"/>
        </w:numPr>
        <w:pStyle w:val="Compact"/>
      </w:pPr>
      <w:r>
        <w:rPr>
          <w:bCs/>
          <w:b/>
        </w:rPr>
        <w:t xml:space="preserve">Months 1-4:</w:t>
      </w:r>
      <w:r>
        <w:t xml:space="preserve"> </w:t>
      </w:r>
      <w:r>
        <w:t xml:space="preserve">Literature review of Russian petroleum engineering standards (leveraging resources at Moscow State University's Energy Library) and stakeholder mapping.</w:t>
      </w:r>
    </w:p>
    <w:p>
      <w:pPr>
        <w:numPr>
          <w:ilvl w:val="0"/>
          <w:numId w:val="1004"/>
        </w:numPr>
        <w:pStyle w:val="Compact"/>
      </w:pPr>
      <w:r>
        <w:rPr>
          <w:bCs/>
          <w:b/>
        </w:rPr>
        <w:t xml:space="preserve">Months 5-8:</w:t>
      </w:r>
      <w:r>
        <w:t xml:space="preserve"> </w:t>
      </w:r>
      <w:r>
        <w:t xml:space="preserve">Data acquisition from Moscow corporate partners and model development at Skolkovo’s energy lab.</w:t>
      </w:r>
    </w:p>
    <w:p>
      <w:pPr>
        <w:numPr>
          <w:ilvl w:val="0"/>
          <w:numId w:val="1004"/>
        </w:numPr>
        <w:pStyle w:val="Compact"/>
      </w:pPr>
      <w:r>
        <w:rPr>
          <w:bCs/>
          <w:b/>
        </w:rPr>
        <w:t xml:space="preserve">Months 9-12:</w:t>
      </w:r>
      <w:r>
        <w:t xml:space="preserve"> </w:t>
      </w:r>
      <w:r>
        <w:t xml:space="preserve">Validation workshops with industry experts at Moscow's Oil &amp; Gas Forum and final framework documentation.</w:t>
      </w:r>
    </w:p>
    <w:p>
      <w:pPr>
        <w:pStyle w:val="FirstParagraph"/>
      </w:pPr>
      <w:r>
        <w:t xml:space="preserve">All phases leverage existing infrastructure in Russia Moscow—avoiding costly international travel while ensuring contextual relevance. The project team includes faculty from the Russian Petroleum University (Moscow) and industry advisors from Gazprom Neft, guaranteeing academic rigor and commercial viability.</w:t>
      </w:r>
    </w:p>
    <w:bookmarkEnd w:id="25"/>
    <w:bookmarkStart w:id="26" w:name="conclusion"/>
    <w:p>
      <w:pPr>
        <w:pStyle w:val="Heading2"/>
      </w:pPr>
      <w:r>
        <w:t xml:space="preserve">7. Conclusion</w:t>
      </w:r>
    </w:p>
    <w:p>
      <w:pPr>
        <w:pStyle w:val="FirstParagraph"/>
      </w:pPr>
      <w:r>
        <w:t xml:space="preserve">This Thesis Proposal establishes a critical roadmap for modernizing petroleum engineering in Russia Moscow at a pivotal moment in global energy transition. It transcends traditional reservoir management by positioning the Petroleum Engineer as a sustainability architect—not merely an extractor—whose work directly influences Russia's economic resilience and environmental legacy. As Moscow evolves from an energy producer to an innovation hub, this research delivers actionable insights for developing the next-generation of Petroleum Engineers equipped to navigate the complex intersection of resource development, ecological responsibility, and technological advancement within Russia's unique geopolitical landscape. The successful execution will cement Moscow’s leadership in responsible petroleum engineering, offering a replicable model for emerging economies balancing energy security with climate action.</w:t>
      </w:r>
    </w:p>
    <w:bookmarkEnd w:id="26"/>
    <w:bookmarkStart w:id="27" w:name="references-illustrative"/>
    <w:p>
      <w:pPr>
        <w:pStyle w:val="Heading2"/>
      </w:pPr>
      <w:r>
        <w:t xml:space="preserve">8. References (Illustrative)</w:t>
      </w:r>
    </w:p>
    <w:p>
      <w:pPr>
        <w:numPr>
          <w:ilvl w:val="0"/>
          <w:numId w:val="1005"/>
        </w:numPr>
        <w:pStyle w:val="Compact"/>
      </w:pPr>
      <w:r>
        <w:t xml:space="preserve">Russian Ministry of Energy. (2023). *National Energy Strategy 2035: Sustainable Development Framework*.</w:t>
      </w:r>
    </w:p>
    <w:p>
      <w:pPr>
        <w:numPr>
          <w:ilvl w:val="0"/>
          <w:numId w:val="1005"/>
        </w:numPr>
        <w:pStyle w:val="Compact"/>
      </w:pPr>
      <w:r>
        <w:t xml:space="preserve">Petrov, A., &amp; Ivanova, E. (2024). Digital Transformation in Russian Reservoir Engineering. *Journal of Petroleum Science*, 78(4), 112–130.</w:t>
      </w:r>
    </w:p>
    <w:p>
      <w:pPr>
        <w:numPr>
          <w:ilvl w:val="0"/>
          <w:numId w:val="1005"/>
        </w:numPr>
        <w:pStyle w:val="Compact"/>
      </w:pPr>
      <w:r>
        <w:t xml:space="preserve">Gazprom Neft. (2023). *Sustainable Development Report: Carbon Management in Arctic Operations*.</w:t>
      </w:r>
    </w:p>
    <w:p>
      <w:pPr>
        <w:numPr>
          <w:ilvl w:val="0"/>
          <w:numId w:val="1005"/>
        </w:numPr>
        <w:pStyle w:val="Compact"/>
      </w:pPr>
      <w:r>
        <w:t xml:space="preserve">International Energy Agency. (2025). *Russia Oil &amp; Gas Outlook: Technology Pathways for 50% Emissions Reduction*.</w:t>
      </w:r>
    </w:p>
    <w:p>
      <w:pPr>
        <w:pStyle w:val="FirstParagraph"/>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Reservoir Engineering Practices for Sustainable Energy Development in Russia Moscow</dc:title>
  <dc:creator/>
  <dc:language>en</dc:language>
  <cp:keywords/>
  <dcterms:created xsi:type="dcterms:W3CDTF">2025-12-11T19:01:13Z</dcterms:created>
  <dcterms:modified xsi:type="dcterms:W3CDTF">2025-12-11T19:01:13Z</dcterms:modified>
</cp:coreProperties>
</file>

<file path=docProps/custom.xml><?xml version="1.0" encoding="utf-8"?>
<Properties xmlns="http://schemas.openxmlformats.org/officeDocument/2006/custom-properties" xmlns:vt="http://schemas.openxmlformats.org/officeDocument/2006/docPropsVTypes"/>
</file>