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b17adfc790a172a65f77c967da54e47c2bdaab"/>
    <w:p>
      <w:pPr>
        <w:pStyle w:val="Heading1"/>
      </w:pPr>
      <w:r>
        <w:t xml:space="preserve">Thesis Proposal: Optimizing Enhanced Oil Recovery Techniques for Mature Fields in the Western Region of Saudi Arabia with Focus on Jeddah as a Strategic Hub</w:t>
      </w:r>
    </w:p>
    <w:bookmarkStart w:id="20" w:name="abstract"/>
    <w:p>
      <w:pPr>
        <w:pStyle w:val="Heading2"/>
      </w:pPr>
      <w:r>
        <w:t xml:space="preserve">Abstract</w:t>
      </w:r>
    </w:p>
    <w:p>
      <w:pPr>
        <w:pStyle w:val="FirstParagraph"/>
      </w:pPr>
      <w:r>
        <w:t xml:space="preserve">This Thesis Proposal outlines a critical research initiative addressing the evolving challenges of reservoir management within the mature oil fields of Saudi Arabia, with specific emphasis on operational synergies and strategic relevance to Jeddah. As one of the Kingdom's most dynamic economic centers, Jeddah serves as a pivotal nexus for energy sector innovation under Vision 2030. The proposed research aims to develop data-driven Enhanced Oil Recovery (EOR) strategies tailored to the unique geological and operational context of Western Saudi Arabia's declining reservoirs, positioning the</w:t>
      </w:r>
      <w:r>
        <w:t xml:space="preserve"> </w:t>
      </w:r>
      <w:r>
        <w:rPr>
          <w:iCs/>
          <w:i/>
        </w:rPr>
        <w:t xml:space="preserve">Petroleum Engineer</w:t>
      </w:r>
      <w:r>
        <w:t xml:space="preserve"> </w:t>
      </w:r>
      <w:r>
        <w:t xml:space="preserve">at the forefront of sustainable hydrocarbon production. By integrating advanced computational modeling with field data from Jeddah-based operations, this study directly supports Saudi Aramco's strategic goals while advancing academic contributions to global petroleum engineering practices within the</w:t>
      </w:r>
      <w:r>
        <w:t xml:space="preserve"> </w:t>
      </w:r>
      <w:r>
        <w:rPr>
          <w:bCs/>
          <w:b/>
        </w:rPr>
        <w:t xml:space="preserve">Saudi Arabia Jeddah</w:t>
      </w:r>
      <w:r>
        <w:t xml:space="preserve"> </w:t>
      </w:r>
      <w:r>
        <w:t xml:space="preserve">ecosystem.</w:t>
      </w:r>
    </w:p>
    <w:bookmarkEnd w:id="20"/>
    <w:bookmarkStart w:id="21" w:name="Xbb8302c3b6437a3562b55ba6b8d3ba4d57b1782"/>
    <w:p>
      <w:pPr>
        <w:pStyle w:val="Heading2"/>
      </w:pPr>
      <w:r>
        <w:t xml:space="preserve">1. Introduction: Context and Problem Statement</w:t>
      </w:r>
    </w:p>
    <w:p>
      <w:pPr>
        <w:pStyle w:val="FirstParagraph"/>
      </w:pPr>
      <w:r>
        <w:t xml:space="preserve">Saudi Arabia remains a global energy powerhouse, with its oil industry deeply intertwined with national economic strategy. While the Eastern Province hosts primary production, the Western Region—including proximity to Jeddah—grows in significance as a hub for downstream refining, petrochemical integration (e.g., SABIC complexes), and emerging EOR projects. Jeddah's strategic location on the Red Sea facilitates international logistics and attracts multinational energy partnerships. However, mature fields across this region face declining production rates, necessitating innovative approaches to maximize recovery while aligning with Saudi Green Initiative commitments to reduce carbon intensity. The critical gap identified is the lack of localized EOR models accounting for Jeddah's specific geology (e.g., carbonate reservoirs in the Shuaiba formation), operational constraints, and alignment with national decarbonization targets. This research directly addresses this gap, positioning the</w:t>
      </w:r>
      <w:r>
        <w:t xml:space="preserve"> </w:t>
      </w:r>
      <w:r>
        <w:rPr>
          <w:iCs/>
          <w:i/>
        </w:rPr>
        <w:t xml:space="preserve">Petroleum Engineer</w:t>
      </w:r>
      <w:r>
        <w:t xml:space="preserve"> </w:t>
      </w:r>
      <w:r>
        <w:t xml:space="preserve">as an indispensable catalyst for sustainable value creation within</w:t>
      </w:r>
      <w:r>
        <w:t xml:space="preserve"> </w:t>
      </w:r>
      <w:r>
        <w:rPr>
          <w:bCs/>
          <w:b/>
        </w:rPr>
        <w:t xml:space="preserve">Saudi Arabia Jeddah</w:t>
      </w:r>
      <w:r>
        <w:t xml:space="preserve">.</w:t>
      </w:r>
    </w:p>
    <w:bookmarkEnd w:id="21"/>
    <w:bookmarkStart w:id="22" w:name="X648ee8e7fa55160a9169b7539f2461b96932efa"/>
    <w:p>
      <w:pPr>
        <w:pStyle w:val="Heading2"/>
      </w:pPr>
      <w:r>
        <w:t xml:space="preserve">2. Literature Review: Gaps in Regional Context</w:t>
      </w:r>
    </w:p>
    <w:p>
      <w:pPr>
        <w:pStyle w:val="FirstParagraph"/>
      </w:pPr>
      <w:r>
        <w:t xml:space="preserve">Existing EOR research predominantly focuses on Eastern Province reservoirs (e.g., Ghawar), with limited studies addressing Western Region complexities. While global literature covers CO</w:t>
      </w:r>
      <w:r>
        <w:rPr>
          <w:vertAlign w:val="subscript"/>
        </w:rPr>
        <w:t xml:space="preserve">2</w:t>
      </w:r>
      <w:r>
        <w:t xml:space="preserve">-EOR and chemical flooding, few integrate the socioeconomic dynamics of Jeddah as a central operational and innovation hub. Recent Saudi Aramco publications (2021-2023) acknowledge EOR potential but lack granular models for Jeddah-centric field operations. Crucially, studies on digital transformation in reservoir engineering rarely consider the infrastructure realities of a city like Jeddah—where proximity to academic institutions (e.g., King Abdulaziz University, Jeddah campus), international port access, and emerging energy parks create a unique innovation ecosystem. This Thesis Proposal bridges this critical gap by anchoring EOR methodology within the tangible operational landscape of</w:t>
      </w:r>
      <w:r>
        <w:t xml:space="preserve"> </w:t>
      </w:r>
      <w:r>
        <w:rPr>
          <w:bCs/>
          <w:b/>
        </w:rPr>
        <w:t xml:space="preserve">Saudi Arabia Jeddah</w:t>
      </w:r>
      <w:r>
        <w:t xml:space="preserve">.</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localized EOR optimization framework for mature carbonate reservoirs in Western Saudi Arabia, with field data sourced from operational sites near Jeddah.</w:t>
      </w:r>
    </w:p>
    <w:p>
      <w:pPr>
        <w:pStyle w:val="BodyText"/>
      </w:pPr>
      <w:r>
        <w:rPr>
          <w:bCs/>
          <w:b/>
        </w:rPr>
        <w:t xml:space="preserve">Secondary Objectives:</w:t>
      </w:r>
    </w:p>
    <w:p>
      <w:pPr>
        <w:numPr>
          <w:ilvl w:val="0"/>
          <w:numId w:val="1001"/>
        </w:numPr>
        <w:pStyle w:val="Compact"/>
      </w:pPr>
      <w:r>
        <w:t xml:space="preserve">Evaluate the techno-economic viability of CO</w:t>
      </w:r>
      <w:r>
        <w:rPr>
          <w:vertAlign w:val="subscript"/>
        </w:rPr>
        <w:t xml:space="preserve">2</w:t>
      </w:r>
      <w:r>
        <w:t xml:space="preserve">-EOR and polymer flooding under Jeddah’s carbon capture infrastructure conditions.</w:t>
      </w:r>
    </w:p>
    <w:p>
      <w:pPr>
        <w:numPr>
          <w:ilvl w:val="0"/>
          <w:numId w:val="1001"/>
        </w:numPr>
        <w:pStyle w:val="Compact"/>
      </w:pPr>
      <w:r>
        <w:t xml:space="preserve">Analyze the role of digital twins in enhancing real-time decision-making for the</w:t>
      </w:r>
      <w:r>
        <w:t xml:space="preserve"> </w:t>
      </w:r>
      <w:r>
        <w:rPr>
          <w:iCs/>
          <w:i/>
        </w:rPr>
        <w:t xml:space="preserve">Petroleum Engineer</w:t>
      </w:r>
      <w:r>
        <w:t xml:space="preserve"> </w:t>
      </w:r>
      <w:r>
        <w:t xml:space="preserve">in a Jeddah-based operations center.</w:t>
      </w:r>
    </w:p>
    <w:p>
      <w:pPr>
        <w:numPr>
          <w:ilvl w:val="0"/>
          <w:numId w:val="1001"/>
        </w:numPr>
        <w:pStyle w:val="Compact"/>
      </w:pPr>
      <w:r>
        <w:t xml:space="preserve">Assess alignment of proposed EOR strategies with Saudi Green Initiative targets and Vision 2030 economic diversification goals.</w:t>
      </w:r>
    </w:p>
    <w:bookmarkEnd w:id="23"/>
    <w:bookmarkStart w:id="24" w:name="methodology-a-jeddah-centric-approach"/>
    <w:p>
      <w:pPr>
        <w:pStyle w:val="Heading2"/>
      </w:pPr>
      <w:r>
        <w:t xml:space="preserve">4. Methodology: A Jeddah-Centric Approach</w:t>
      </w:r>
    </w:p>
    <w:p>
      <w:pPr>
        <w:pStyle w:val="FirstParagraph"/>
      </w:pPr>
      <w:r>
        <w:t xml:space="preserve">This research adopts a multi-phase, applied methodology designed for seamless integration with</w:t>
      </w:r>
      <w:r>
        <w:t xml:space="preserve"> </w:t>
      </w:r>
      <w:r>
        <w:rPr>
          <w:bCs/>
          <w:b/>
        </w:rPr>
        <w:t xml:space="preserve">Saudi Arabia Jeddah</w:t>
      </w:r>
      <w:r>
        <w:t xml:space="preserve">'s industrial and academic infrastructure:</w:t>
      </w:r>
    </w:p>
    <w:p>
      <w:pPr>
        <w:numPr>
          <w:ilvl w:val="0"/>
          <w:numId w:val="1002"/>
        </w:numPr>
        <w:pStyle w:val="Compact"/>
      </w:pPr>
      <w:r>
        <w:rPr>
          <w:bCs/>
          <w:b/>
        </w:rPr>
        <w:t xml:space="preserve">Data Acquisition:</w:t>
      </w:r>
      <w:r>
        <w:t xml:space="preserve"> </w:t>
      </w:r>
      <w:r>
        <w:t xml:space="preserve">Collaborate with Saudi Aramco’s Western Operations Division (headquartered near Jeddah) to access anonymized production, seismic, and reservoir simulation data from fields within 100 km of Jeddah.</w:t>
      </w:r>
    </w:p>
    <w:p>
      <w:pPr>
        <w:numPr>
          <w:ilvl w:val="0"/>
          <w:numId w:val="1002"/>
        </w:numPr>
        <w:pStyle w:val="Compact"/>
      </w:pPr>
      <w:r>
        <w:rPr>
          <w:bCs/>
          <w:b/>
        </w:rPr>
        <w:t xml:space="preserve">Model Development:</w:t>
      </w:r>
      <w:r>
        <w:t xml:space="preserve"> </w:t>
      </w:r>
      <w:r>
        <w:t xml:space="preserve">Utilize machine learning (Python/TensorFlow) to build predictive EOR models incorporating local geological variables (e.g., fracture networks in Jeddah’s Western Basin), operational costs, and carbon footprint metrics.</w:t>
      </w:r>
    </w:p>
    <w:p>
      <w:pPr>
        <w:numPr>
          <w:ilvl w:val="0"/>
          <w:numId w:val="1002"/>
        </w:numPr>
        <w:pStyle w:val="Compact"/>
      </w:pPr>
      <w:r>
        <w:rPr>
          <w:bCs/>
          <w:b/>
        </w:rPr>
        <w:t xml:space="preserve">Validation &amp; Simulation:</w:t>
      </w:r>
      <w:r>
        <w:t xml:space="preserve"> </w:t>
      </w:r>
      <w:r>
        <w:t xml:space="preserve">Test frameworks using Petrel® reservoir simulation software with datasets from Jeddah-based field trials. Compare scenarios for CO</w:t>
      </w:r>
      <w:r>
        <w:rPr>
          <w:vertAlign w:val="subscript"/>
        </w:rPr>
        <w:t xml:space="preserve">2</w:t>
      </w:r>
      <w:r>
        <w:t xml:space="preserve">-EOR vs. chemical methods under varying price and regulatory conditions.</w:t>
      </w:r>
    </w:p>
    <w:p>
      <w:pPr>
        <w:numPr>
          <w:ilvl w:val="0"/>
          <w:numId w:val="1002"/>
        </w:numPr>
        <w:pStyle w:val="Compact"/>
      </w:pPr>
      <w:r>
        <w:rPr>
          <w:bCs/>
          <w:b/>
        </w:rPr>
        <w:t xml:space="preserve">Stakeholder Integration:</w:t>
      </w:r>
      <w:r>
        <w:t xml:space="preserve"> </w:t>
      </w:r>
      <w:r>
        <w:t xml:space="preserve">Conduct workshops with Jeddah-based petroleum engineers at Aramco facilities, SABIC, and King Abdulaziz University to ensure practical relevance.</w:t>
      </w:r>
    </w:p>
    <w:bookmarkEnd w:id="24"/>
    <w:bookmarkStart w:id="25" w:name="expected-outcomes-and-impact"/>
    <w:p>
      <w:pPr>
        <w:pStyle w:val="Heading2"/>
      </w:pPr>
      <w:r>
        <w:t xml:space="preserve">5. Expected Outcomes and Impact</w:t>
      </w:r>
    </w:p>
    <w:p>
      <w:pPr>
        <w:pStyle w:val="FirstParagraph"/>
      </w:pPr>
      <w:r>
        <w:t xml:space="preserve">This Thesis Proposal promises transformative outcomes for the</w:t>
      </w:r>
      <w:r>
        <w:t xml:space="preserve"> </w:t>
      </w:r>
      <w:r>
        <w:rPr>
          <w:iCs/>
          <w:i/>
        </w:rPr>
        <w:t xml:space="preserve">Petroleum Engineer</w:t>
      </w:r>
      <w:r>
        <w:t xml:space="preserve"> </w:t>
      </w:r>
      <w:r>
        <w:t xml:space="preserve">profession in Saudi Arabia:</w:t>
      </w:r>
    </w:p>
    <w:p>
      <w:pPr>
        <w:numPr>
          <w:ilvl w:val="0"/>
          <w:numId w:val="1003"/>
        </w:numPr>
        <w:pStyle w:val="Compact"/>
      </w:pPr>
      <w:r>
        <w:rPr>
          <w:bCs/>
          <w:b/>
        </w:rPr>
        <w:t xml:space="preserve">Practical Framework:</w:t>
      </w:r>
      <w:r>
        <w:t xml:space="preserve"> </w:t>
      </w:r>
      <w:r>
        <w:t xml:space="preserve">A validated EOR optimization toolkit deployable by Jeddah-based engineering teams, potentially increasing recovery rates by 5–8% in target fields.</w:t>
      </w:r>
    </w:p>
    <w:p>
      <w:pPr>
        <w:numPr>
          <w:ilvl w:val="0"/>
          <w:numId w:val="1003"/>
        </w:numPr>
        <w:pStyle w:val="Compact"/>
      </w:pPr>
      <w:r>
        <w:rPr>
          <w:bCs/>
          <w:b/>
        </w:rPr>
        <w:t xml:space="preserve">Economic Value:</w:t>
      </w:r>
      <w:r>
        <w:t xml:space="preserve"> </w:t>
      </w:r>
      <w:r>
        <w:t xml:space="preserve">Quantified cost-benefit analysis for implementing EOR near Jeddah, supporting Saudi Aramco’s strategy to extend field lifespans without new exploration.</w:t>
      </w:r>
    </w:p>
    <w:p>
      <w:pPr>
        <w:numPr>
          <w:ilvl w:val="0"/>
          <w:numId w:val="1003"/>
        </w:numPr>
        <w:pStyle w:val="Compact"/>
      </w:pPr>
      <w:r>
        <w:rPr>
          <w:bCs/>
          <w:b/>
        </w:rPr>
        <w:t xml:space="preserve">Sustainability Contribution:</w:t>
      </w:r>
      <w:r>
        <w:t xml:space="preserve"> </w:t>
      </w:r>
      <w:r>
        <w:t xml:space="preserve">Direct linkage to Saudi Green Initiative—reducing emissions per barrel by optimizing resource use through data-driven engineering, positioning</w:t>
      </w:r>
      <w:r>
        <w:t xml:space="preserve"> </w:t>
      </w:r>
      <w:r>
        <w:rPr>
          <w:bCs/>
          <w:b/>
        </w:rPr>
        <w:t xml:space="preserve">Saudi Arabia Jeddah</w:t>
      </w:r>
      <w:r>
        <w:t xml:space="preserve"> </w:t>
      </w:r>
      <w:r>
        <w:t xml:space="preserve">as a model for low-carbon oil production.</w:t>
      </w:r>
    </w:p>
    <w:p>
      <w:pPr>
        <w:numPr>
          <w:ilvl w:val="0"/>
          <w:numId w:val="1003"/>
        </w:numPr>
        <w:pStyle w:val="Compact"/>
      </w:pPr>
      <w:r>
        <w:rPr>
          <w:bCs/>
          <w:b/>
        </w:rPr>
        <w:t xml:space="preserve">Academic &amp; Professional Impact:</w:t>
      </w:r>
      <w:r>
        <w:t xml:space="preserve"> </w:t>
      </w:r>
      <w:r>
        <w:t xml:space="preserve">New insights for petroleum engineering curricula in Jeddah universities and a benchmark study for global operators seeking to adapt EOR to carbonate-rich, non-traditional basins.</w:t>
      </w:r>
    </w:p>
    <w:bookmarkEnd w:id="25"/>
    <w:bookmarkStart w:id="26" w:name="significance-why-jeddah-matters"/>
    <w:p>
      <w:pPr>
        <w:pStyle w:val="Heading2"/>
      </w:pPr>
      <w:r>
        <w:t xml:space="preserve">6. Significance: Why Jeddah Matters</w:t>
      </w:r>
    </w:p>
    <w:p>
      <w:pPr>
        <w:pStyle w:val="FirstParagraph"/>
      </w:pPr>
      <w:r>
        <w:t xml:space="preserve">Jeddah is not merely a geographic reference; it embodies the future of Saudi energy engineering. As the Kingdom accelerates Vision 2030’s diversification agenda, Jeddah emerges as a critical node for integrating oil operations with renewable energy (e.g., solar-powered EOR processes) and digital innovation hubs. This research actively leverages Jeddah's strengths: its port infrastructure for importing carbon capture technology, proximity to global talent via international universities, and its role in the Saudi Energy Transition Strategy. For the</w:t>
      </w:r>
      <w:r>
        <w:t xml:space="preserve"> </w:t>
      </w:r>
      <w:r>
        <w:rPr>
          <w:iCs/>
          <w:i/>
        </w:rPr>
        <w:t xml:space="preserve">Petroleum Engineer</w:t>
      </w:r>
      <w:r>
        <w:t xml:space="preserve">, this means evolving beyond traditional extraction roles into strategic sustainability architects—a career trajectory uniquely enabled by Jeddah’s ecosystem. By anchoring this Thesis Proposal within</w:t>
      </w:r>
      <w:r>
        <w:t xml:space="preserve"> </w:t>
      </w:r>
      <w:r>
        <w:rPr>
          <w:bCs/>
          <w:b/>
        </w:rPr>
        <w:t xml:space="preserve">Saudi Arabia Jeddah</w:t>
      </w:r>
      <w:r>
        <w:t xml:space="preserve">, we ensure academic rigor directly fuels national economic and environmental objectives.</w:t>
      </w:r>
    </w:p>
    <w:bookmarkEnd w:id="26"/>
    <w:bookmarkStart w:id="27" w:name="conclusion"/>
    <w:p>
      <w:pPr>
        <w:pStyle w:val="Heading2"/>
      </w:pPr>
      <w:r>
        <w:t xml:space="preserve">7. Conclusion</w:t>
      </w:r>
    </w:p>
    <w:p>
      <w:pPr>
        <w:pStyle w:val="FirstParagraph"/>
      </w:pPr>
      <w:r>
        <w:t xml:space="preserve">This Thesis Proposal delivers a targeted, actionable roadmap for advancing reservoir engineering excellence in the context of Saudi Arabia’s strategic pivot. It moves beyond generic EOR research by centering the unique operational, geographic, and aspirational landscape of Jeddah—a city poised to redefine how global petroleum engineers navigate energy transition. The proposed work directly empowers the</w:t>
      </w:r>
      <w:r>
        <w:t xml:space="preserve"> </w:t>
      </w:r>
      <w:r>
        <w:rPr>
          <w:iCs/>
          <w:i/>
        </w:rPr>
        <w:t xml:space="preserve">Petroleum Engineer</w:t>
      </w:r>
      <w:r>
        <w:t xml:space="preserve"> </w:t>
      </w:r>
      <w:r>
        <w:t xml:space="preserve">as a key driver of sustainable value in</w:t>
      </w:r>
      <w:r>
        <w:t xml:space="preserve"> </w:t>
      </w:r>
      <w:r>
        <w:rPr>
          <w:bCs/>
          <w:b/>
        </w:rPr>
        <w:t xml:space="preserve">Saudi Arabia Jeddah</w:t>
      </w:r>
      <w:r>
        <w:t xml:space="preserve">, aligning academic inquiry with the Kingdom’s most pressing industrial and environmental imperatives. Completion of this research will yield not only scholarly contributions but also immediate, deployable solutions for Saudi Aramco’s Western Region operations, cementing Jeddah’s role as a beacon of innovation in the global energy sector.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for Petroleum Engineers in Saudi Arabia Jeddah</dc:title>
  <dc:creator/>
  <dc:language>en</dc:language>
  <cp:keywords/>
  <dcterms:created xsi:type="dcterms:W3CDTF">2026-07-20T09:22:28Z</dcterms:created>
  <dcterms:modified xsi:type="dcterms:W3CDTF">2026-07-20T09:22:28Z</dcterms:modified>
</cp:coreProperties>
</file>

<file path=docProps/custom.xml><?xml version="1.0" encoding="utf-8"?>
<Properties xmlns="http://schemas.openxmlformats.org/officeDocument/2006/custom-properties" xmlns:vt="http://schemas.openxmlformats.org/officeDocument/2006/docPropsVTypes"/>
</file>