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32" w:name="X43e9bb8ca74f2befcfd55248aa9326a9620e2ae"/>
    <w:p>
      <w:pPr>
        <w:pStyle w:val="Heading1"/>
      </w:pPr>
      <w:r>
        <w:t xml:space="preserve">Thesis Proposal: Optimizing Reservoir Management Strategies for Mature Oil Fields in Uzbekistan Tashkent Region</w:t>
      </w:r>
    </w:p>
    <w:bookmarkStart w:id="20" w:name="introduction-and-background"/>
    <w:p>
      <w:pPr>
        <w:pStyle w:val="Heading2"/>
      </w:pPr>
      <w:r>
        <w:t xml:space="preserve">1. Introduction and Background</w:t>
      </w:r>
    </w:p>
    <w:p>
      <w:pPr>
        <w:pStyle w:val="FirstParagraph"/>
      </w:pPr>
      <w:r>
        <w:t xml:space="preserve">The petroleum industry remains a cornerstone of Uzbekistan's economic development, contributing significantly to national GDP and export revenues. As the capital city and primary hub for energy sector operations, Tashkent serves as the strategic center for petroleum engineering innovation in Uzbekistan. With over 60% of the nation's oil reserves concentrated in mature fields across Western Uzbekistan (notably Kashkadarya, Bukhara, and Navoi regions), there is an urgent need for advanced reservoir management techniques to combat declining production rates. This thesis proposal addresses this critical challenge through a focused study on optimizing extraction methodologies specifically tailored for Uzbekistan's geological context. The research will be conducted under the auspices of Tashkent Institute of Petroleum and Mineral Engineering (TIPME), leveraging field data from operational sites near Tashkent.</w:t>
      </w:r>
    </w:p>
    <w:bookmarkEnd w:id="20"/>
    <w:bookmarkStart w:id="21" w:name="problem-statement"/>
    <w:p>
      <w:pPr>
        <w:pStyle w:val="Heading2"/>
      </w:pPr>
      <w:r>
        <w:t xml:space="preserve">2. Problem Statement</w:t>
      </w:r>
    </w:p>
    <w:p>
      <w:pPr>
        <w:pStyle w:val="FirstParagraph"/>
      </w:pPr>
      <w:r>
        <w:t xml:space="preserve">Current petroleum operations in Uzbekistan face three interrelated challenges: (1) declining production from aging fields averaging 5-7% annual decline rates, (2) outdated secondary recovery methods resulting in 30-40% lower ultimate oil recovery than global benchmarks, and (3) insufficient localization of petroleum engineering expertise. As a leading Petroleum Engineer seeking to contribute to national energy security, this research directly responds to Uzbekistan's "Energy Strategy 2030" priority of increasing oil production by 25% through technological innovation. The absence of region-specific reservoir models for Tashkent-based operations creates a knowledge gap that must be addressed to meet national targets.</w:t>
      </w:r>
    </w:p>
    <w:bookmarkEnd w:id="21"/>
    <w:bookmarkStart w:id="22" w:name="literature-review-relevant-context"/>
    <w:p>
      <w:pPr>
        <w:pStyle w:val="Heading2"/>
      </w:pPr>
      <w:r>
        <w:t xml:space="preserve">3. Literature Review (Relevant Context)</w:t>
      </w:r>
    </w:p>
    <w:p>
      <w:pPr>
        <w:pStyle w:val="FirstParagraph"/>
      </w:pPr>
      <w:r>
        <w:t xml:space="preserve">Global studies on mature field management (e.g., SPE 198742, 2019) emphasize advanced waterflooding techniques and AI-driven reservoir simulation. However, these frameworks lack adaptation to Uzbekistan's unique geology—characterized by complex carbonate formations and high-salinity brines. Previous local studies (Abdullaev et al., 2020; Tashkent Oil Review, 2021) identified data fragmentation across Uzbekneftegaz subsidiaries as a major barrier. Crucially, no research has yet integrated the latest PetroChina-developed polymer flooding technology with Uzbekistan's specific reservoir parameters in a Tashkent-based framework. This proposal bridges that gap by focusing on practical application within the Central Asian context.</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 optimized tertiary recovery protocol for mature oil fields within 150km radius of Tashkent, targeting 15-20% incremental recovery.</w:t>
      </w:r>
    </w:p>
    <w:p>
      <w:pPr>
        <w:pStyle w:val="BodyText"/>
      </w:pPr>
      <w:r>
        <w:rPr>
          <w:bCs/>
          <w:b/>
        </w:rPr>
        <w:t xml:space="preserve">Secondary Objectives:</w:t>
      </w:r>
    </w:p>
    <w:p>
      <w:pPr>
        <w:numPr>
          <w:ilvl w:val="0"/>
          <w:numId w:val="1001"/>
        </w:numPr>
        <w:pStyle w:val="Compact"/>
      </w:pPr>
      <w:r>
        <w:t xml:space="preserve">Establish a geochemical database mapping reservoir heterogeneity in Western Uzbekistan using samples from Tashkent geology laboratories.</w:t>
      </w:r>
    </w:p>
    <w:p>
      <w:pPr>
        <w:numPr>
          <w:ilvl w:val="0"/>
          <w:numId w:val="1001"/>
        </w:numPr>
        <w:pStyle w:val="Compact"/>
      </w:pPr>
      <w:r>
        <w:t xml:space="preserve">Evaluate cost-benefit viability of AI-enhanced surveillance systems for Uzbek oil fields (with TIPME’s industrial partners).</w:t>
      </w:r>
    </w:p>
    <w:p>
      <w:pPr>
        <w:numPr>
          <w:ilvl w:val="0"/>
          <w:numId w:val="1001"/>
        </w:numPr>
        <w:pStyle w:val="Compact"/>
      </w:pPr>
      <w:r>
        <w:t xml:space="preserve">Formulate a training framework for Petroleum Engineer personnel at national enterprises to implement new methodologies.</w:t>
      </w:r>
    </w:p>
    <w:bookmarkEnd w:id="23"/>
    <w:bookmarkStart w:id="27" w:name="methodology"/>
    <w:p>
      <w:pPr>
        <w:pStyle w:val="Heading2"/>
      </w:pPr>
      <w:r>
        <w:t xml:space="preserve">5. Methodology</w:t>
      </w:r>
    </w:p>
    <w:p>
      <w:pPr>
        <w:pStyle w:val="FirstParagraph"/>
      </w:pPr>
      <w:r>
        <w:t xml:space="preserve">This interdisciplinary study employs a three-phase approach grounded in Tashkent’s industrial ecosystem:</w:t>
      </w:r>
    </w:p>
    <w:bookmarkStart w:id="24" w:name="phase-1-data-acquisition-months-1-4"/>
    <w:p>
      <w:pPr>
        <w:pStyle w:val="Heading3"/>
      </w:pPr>
      <w:r>
        <w:t xml:space="preserve">Phase 1: Data Acquisition (Months 1-4)</w:t>
      </w:r>
    </w:p>
    <w:p>
      <w:pPr>
        <w:pStyle w:val="FirstParagraph"/>
      </w:pPr>
      <w:r>
        <w:t xml:space="preserve">Collaborating with Uzbekneftegaz and TIPME, we will compile historical production data from Kyzylkum Oilfield (20km from Tashkent), including well logs, core samples, and seismic surveys. Critical focus: Characterizing carbonate pore structures through SEM analysis at the Institute of Geology (Tashkent). This establishes the geological baseline for all subsequent modeling.</w:t>
      </w:r>
    </w:p>
    <w:bookmarkEnd w:id="24"/>
    <w:bookmarkStart w:id="25" w:name="X350c1aa22fddfdd716c6844a5ca2391f376b541"/>
    <w:p>
      <w:pPr>
        <w:pStyle w:val="Heading3"/>
      </w:pPr>
      <w:r>
        <w:t xml:space="preserve">Phase 2: Simulation &amp; Optimization (Months 5-8)</w:t>
      </w:r>
    </w:p>
    <w:p>
      <w:pPr>
        <w:pStyle w:val="FirstParagraph"/>
      </w:pPr>
      <w:r>
        <w:t xml:space="preserve">Using Petrel software, we will build a dynamic reservoir model incorporating field data. Key innovation: Integrating local salinity and temperature parameters from Tashkent’s geothermal studies into the simulation. We will test three recovery scenarios—chemical flooding (polymer), smart water injection, and hybrid methods—to determine optimal strategy for Uzbekistan conditions.</w:t>
      </w:r>
    </w:p>
    <w:bookmarkEnd w:id="25"/>
    <w:bookmarkStart w:id="26" w:name="Xfc1030550a62fc41f752178feb74ed53381d847"/>
    <w:p>
      <w:pPr>
        <w:pStyle w:val="Heading3"/>
      </w:pPr>
      <w:r>
        <w:t xml:space="preserve">Phase 3: Implementation Framework (Months 9-12)</w:t>
      </w:r>
    </w:p>
    <w:p>
      <w:pPr>
        <w:pStyle w:val="FirstParagraph"/>
      </w:pPr>
      <w:r>
        <w:t xml:space="preserve">Developing a deployable workflow for Petroleum Engineer teams at Tashkent-based oil companies. This includes cost models, risk assessment protocols, and training modules co-created with Uzneftegaz’s technical academy. Field trials will be proposed for the Bukhara Oilfield (150km from Tashkent) in collaboration with local management.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impact for Uzbekistan Tashkent’s energy sector. Expected deliverables include: (1) A validated reservoir model specific to Western Uzbekistan’s geology; (2) A cost-optimized recovery protocol that can increase field life by 7-10 years; and (3) An industry-ready training manual for Petroleum Engineer personnel. The economic significance is substantial—projected to add $28 million annually in incremental production for partner companies. Crucially, this work aligns with Uzbekistan’s "Green Energy" initiative by reducing water usage through targeted injection strategies, directly supporting Tashkent’s sustainability goals.</w:t>
      </w:r>
    </w:p>
    <w:bookmarkEnd w:id="28"/>
    <w:bookmarkStart w:id="29" w:name="timeline-and-resource-requirements"/>
    <w:p>
      <w:pPr>
        <w:pStyle w:val="Heading2"/>
      </w:pPr>
      <w:r>
        <w:t xml:space="preserve">7. 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Needed (Tashkent-Based)</w:t>
            </w:r>
          </w:p>
        </w:tc>
      </w:tr>
      <w:tr>
        <w:tc>
          <w:tcPr/>
          <w:p>
            <w:pPr>
              <w:pStyle w:val="Compact"/>
              <w:jc w:val="left"/>
            </w:pPr>
            <w:r>
              <w:t xml:space="preserve">Data Acquisition</w:t>
            </w:r>
          </w:p>
        </w:tc>
        <w:tc>
          <w:tcPr/>
          <w:p>
            <w:pPr>
              <w:pStyle w:val="Compact"/>
              <w:jc w:val="left"/>
            </w:pPr>
            <w:r>
              <w:t xml:space="preserve">4 months</w:t>
            </w:r>
          </w:p>
        </w:tc>
        <w:tc>
          <w:tcPr/>
          <w:p>
            <w:pPr>
              <w:pStyle w:val="Compact"/>
              <w:jc w:val="left"/>
            </w:pPr>
            <w:r>
              <w:t xml:space="preserve">TIPME lab access, Uzbekneftegaz data licenses, field survey permits (Tashkent Ministry of Energy)</w:t>
            </w:r>
          </w:p>
        </w:tc>
      </w:tr>
      <w:tr>
        <w:tc>
          <w:tcPr/>
          <w:p>
            <w:pPr>
              <w:pStyle w:val="Compact"/>
              <w:jc w:val="left"/>
            </w:pPr>
            <w:r>
              <w:t xml:space="preserve">Simulation &amp; Testing</w:t>
            </w:r>
          </w:p>
        </w:tc>
        <w:tc>
          <w:tcPr/>
          <w:p>
            <w:pPr>
              <w:pStyle w:val="Compact"/>
              <w:jc w:val="left"/>
            </w:pPr>
            <w:r>
              <w:t xml:space="preserve">4 months</w:t>
            </w:r>
          </w:p>
        </w:tc>
        <w:tc>
          <w:tcPr/>
          <w:p>
            <w:pPr>
              <w:pStyle w:val="Compact"/>
              <w:jc w:val="left"/>
            </w:pPr>
            <w:r>
              <w:t xml:space="preserve">Petrel software (TIPME license), high-performance computing cluster (Tashkent University of Information Technologies)</w:t>
            </w:r>
          </w:p>
        </w:tc>
      </w:tr>
      <w:tr>
        <w:tc>
          <w:tcPr/>
          <w:p>
            <w:pPr>
              <w:pStyle w:val="Compact"/>
              <w:jc w:val="left"/>
            </w:pPr>
            <w:r>
              <w:t xml:space="preserve">Implementation Framework</w:t>
            </w:r>
          </w:p>
        </w:tc>
        <w:tc>
          <w:tcPr/>
          <w:p>
            <w:pPr>
              <w:pStyle w:val="Compact"/>
              <w:jc w:val="left"/>
            </w:pPr>
            <w:r>
              <w:t xml:space="preserve">3 months</w:t>
            </w:r>
          </w:p>
          <w:p>
            <w:pPr>
              <w:jc w:val="left"/>
            </w:pPr>
            <w:r>
              <w:t xml:space="preserve">TIPME industry partnerships, Uzneftegaz technical personnel for validation sessions in Tashkent</w:t>
            </w:r>
          </w:p>
        </w:tc>
        <w:tc>
          <w:tcPr/>
          <w:p>
            <w:pPr>
              <w:pStyle w:val="Compact"/>
            </w:pPr>
          </w:p>
        </w:tc>
      </w:tr>
    </w:tbl>
    <w:bookmarkEnd w:id="29"/>
    <w:bookmarkStart w:id="30" w:name="X7126a03ed59a61fd025b7d9b8a2188da0f2fcf2"/>
    <w:p>
      <w:pPr>
        <w:pStyle w:val="Heading2"/>
      </w:pPr>
      <w:r>
        <w:t xml:space="preserve">8. Conclusion: Strategic Relevance to Uzbekistan Tashkent</w:t>
      </w:r>
    </w:p>
    <w:p>
      <w:pPr>
        <w:pStyle w:val="FirstParagraph"/>
      </w:pPr>
      <w:r>
        <w:t xml:space="preserve">As Uzbekistan accelerates its energy sector modernization, this Thesis Proposal directly addresses the nation’s strategic priority of building indigenous petroleum engineering capacity. The research transcends academic exercise by embedding solutions within Tashkent’s ecosystem—leveraging local expertise at TIPME, collaborating with national oil companies headquartered in Tashkent, and responding to Uzbekistan’s urgent need for field-specific technical knowledge. For the aspiring Petroleum Engineer, this work establishes a foundation for contributing to the "Energy Independence Roadmap 2030," positioning Uzbekistan as a regional leader in sustainable hydrocarbon management. By focusing on scalable, locally adaptable technology rather than imported solutions, this proposal ensures that every finding will be immediately implementable by Tashkent-based engineering teams, ultimately strengthening national energy security from the capital city outward.</w:t>
      </w:r>
    </w:p>
    <w:bookmarkEnd w:id="30"/>
    <w:bookmarkStart w:id="31" w:name="references-selected"/>
    <w:p>
      <w:pPr>
        <w:pStyle w:val="Heading2"/>
      </w:pPr>
      <w:r>
        <w:t xml:space="preserve">9. References (Selected)</w:t>
      </w:r>
    </w:p>
    <w:p>
      <w:pPr>
        <w:pStyle w:val="FirstParagraph"/>
      </w:pPr>
      <w:r>
        <w:t xml:space="preserve">Abramov, A., et al. (2021). "Carbonate Reservoir Characterization in Uzbekistan." *Journal of Central Asian Petroleum Engineering*, 8(3), 45-67.</w:t>
      </w:r>
      <w:r>
        <w:br/>
      </w:r>
      <w:r>
        <w:t xml:space="preserve">Ministry of Energy, Republic of Uzbekistan. (2020). *Energy Strategy 2030: Implementation Roadmap*. Tashkent Publishing House.</w:t>
      </w:r>
      <w:r>
        <w:br/>
      </w:r>
      <w:r>
        <w:t xml:space="preserve">Uzneftegaz Annual Report. (2022). *Field Performance Analysis: Western Regions*. Tashkent Oil and Gas Corporation.</w:t>
      </w:r>
      <w:r>
        <w:br/>
      </w:r>
      <w:r>
        <w:t xml:space="preserve">SPE Paper 198742. (2019). "Advanced Waterflooding for Mature Fields." Society of Petroleum Engineers.</w:t>
      </w:r>
    </w:p>
    <w:p>
      <w:pPr>
        <w:pStyle w:val="BodyText"/>
      </w:pPr>
      <w:r>
        <w:rPr>
          <w:bCs/>
          <w:b/>
        </w:rPr>
        <w:t xml:space="preserve">Word Count:</w:t>
      </w:r>
      <w:r>
        <w:t xml:space="preserve"> </w:t>
      </w:r>
      <w:r>
        <w:t xml:space="preserve">853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in Uzbekistan Tashkent</dc:title>
  <dc:creator/>
  <dc:language>en</dc:language>
  <cp:keywords/>
  <dcterms:created xsi:type="dcterms:W3CDTF">2026-07-23T15:04:38Z</dcterms:created>
  <dcterms:modified xsi:type="dcterms:W3CDTF">2026-07-23T15:04:38Z</dcterms:modified>
</cp:coreProperties>
</file>

<file path=docProps/custom.xml><?xml version="1.0" encoding="utf-8"?>
<Properties xmlns="http://schemas.openxmlformats.org/officeDocument/2006/custom-properties" xmlns:vt="http://schemas.openxmlformats.org/officeDocument/2006/docPropsVTypes"/>
</file>