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Australia</w:t>
      </w:r>
      <w:r>
        <w:t xml:space="preserve"> </w:t>
      </w:r>
      <w:r>
        <w:t xml:space="preserve">Melbourne</w:t>
      </w:r>
    </w:p>
    <w:bookmarkStart w:id="29" w:name="X6ec13a9bfd113874dc3efbedb1e9e934b978875"/>
    <w:p>
      <w:pPr>
        <w:pStyle w:val="Heading1"/>
      </w:pPr>
      <w:r>
        <w:t xml:space="preserve">Thesis Proposal: Enhancing Community Pharmacist Integration in Primary Healthcare Systems for Chronic Disease Management in Australia Melbourne</w:t>
      </w:r>
    </w:p>
    <w:bookmarkStart w:id="20" w:name="introduction-and-background"/>
    <w:p>
      <w:pPr>
        <w:pStyle w:val="Heading2"/>
      </w:pPr>
      <w:r>
        <w:t xml:space="preserve">1. Introduction and Background</w:t>
      </w:r>
    </w:p>
    <w:p>
      <w:pPr>
        <w:pStyle w:val="FirstParagraph"/>
      </w:pPr>
      <w:r>
        <w:t xml:space="preserve">The role of the pharmacist has evolved significantly within Australia's healthcare landscape, particularly in metropolitan centres like Melbourne. As the nation grapples with an ageing population and rising chronic disease burden—accounting for 70% of healthcare expenditure—pharmacists are emerging as pivotal members of primary care teams. This Thesis Proposal outlines a critical investigation into optimizing the Pharmacist's contribution to integrated care models within Australia Melbourne, where over 1.5 million residents require ongoing management of conditions like diabetes, cardiovascular disease, and respiratory disorders. Current fragmentation in care delivery creates medication safety risks and suboptimal health outcomes, presenting an urgent opportunity for pharmacist-led interventions.</w:t>
      </w:r>
    </w:p>
    <w:bookmarkEnd w:id="20"/>
    <w:bookmarkStart w:id="21" w:name="problem-statement"/>
    <w:p>
      <w:pPr>
        <w:pStyle w:val="Heading2"/>
      </w:pPr>
      <w:r>
        <w:t xml:space="preserve">2. Problem Statement</w:t>
      </w:r>
    </w:p>
    <w:p>
      <w:pPr>
        <w:pStyle w:val="FirstParagraph"/>
      </w:pPr>
      <w:r>
        <w:t xml:space="preserve">In Australia Melbourne specifically, significant barriers hinder the full utilization of pharmacist expertise: 1) Limited reimbursement for clinical services beyond dispensing under the Pharmaceutical Benefits Scheme (PBS), 2) Poor interoperability between pharmacy software and hospital/primary care systems, and 3) Lack of standardized protocols for Pharmacist-led chronic disease management. Consequently, Melbourne's diverse communities—including culturally and linguistically diverse populations—experience preventable medication-related problems. The Victorian government's "Pharmacist Clinical Services" initiative acknowledges this gap but lacks evidence-based frameworks for scalable implementation across metropolitan settings.</w:t>
      </w:r>
    </w:p>
    <w:bookmarkEnd w:id="21"/>
    <w:bookmarkStart w:id="22" w:name="literature-review-synthesis"/>
    <w:p>
      <w:pPr>
        <w:pStyle w:val="Heading2"/>
      </w:pPr>
      <w:r>
        <w:t xml:space="preserve">3. Literature Review Synthesis</w:t>
      </w:r>
    </w:p>
    <w:p>
      <w:pPr>
        <w:pStyle w:val="FirstParagraph"/>
      </w:pPr>
      <w:r>
        <w:t xml:space="preserve">Existing international literature (e.g., UK and Canada) demonstrates that pharmacist-integrated care reduces hospital readmissions by 15-30% and improves medication adherence. However, Australia's regulatory environment remains distinct. A 2022 Monash University study revealed Melbourne pharmacists conduct over 75% of medication therapy management (MTM) services informally, yet only 18% are formally reimbursed. Crucially, no comprehensive Australian study has evaluated pharmacist-led models within Melbourne's unique public-private healthcare ecosystem—characterized by acute hospitals like The Royal Melbourne Hospital and vast community pharmacy networks operating under differing commercial pressures. This research gap necessitates context-specific investigation.</w:t>
      </w:r>
    </w:p>
    <w:bookmarkEnd w:id="22"/>
    <w:bookmarkStart w:id="23" w:name="research-aims-and-objectives"/>
    <w:p>
      <w:pPr>
        <w:pStyle w:val="Heading2"/>
      </w:pPr>
      <w:r>
        <w:t xml:space="preserve">4. Research Aims and Objectives</w:t>
      </w:r>
    </w:p>
    <w:p>
      <w:pPr>
        <w:pStyle w:val="FirstParagraph"/>
      </w:pPr>
      <w:r>
        <w:t xml:space="preserve">This Thesis Proposal seeks to develop a validated, scalable framework for Pharmacist-led chronic disease management in Australia Melbourne through three core objectives:</w:t>
      </w:r>
    </w:p>
    <w:p>
      <w:pPr>
        <w:numPr>
          <w:ilvl w:val="0"/>
          <w:numId w:val="1001"/>
        </w:numPr>
        <w:pStyle w:val="Compact"/>
      </w:pPr>
      <w:r>
        <w:rPr>
          <w:bCs/>
          <w:b/>
        </w:rPr>
        <w:t xml:space="preserve">Objective 1:</w:t>
      </w:r>
      <w:r>
        <w:t xml:space="preserve"> </w:t>
      </w:r>
      <w:r>
        <w:t xml:space="preserve">Map existing pharmacist clinical service delivery across 50+ community pharmacies in Melbourne's inner-city and outer-suburban regions, identifying workflow barriers and patient access disparities.</w:t>
      </w:r>
    </w:p>
    <w:p>
      <w:pPr>
        <w:numPr>
          <w:ilvl w:val="0"/>
          <w:numId w:val="1001"/>
        </w:numPr>
        <w:pStyle w:val="Compact"/>
      </w:pPr>
      <w:r>
        <w:rPr>
          <w:bCs/>
          <w:b/>
        </w:rPr>
        <w:t xml:space="preserve">Objective 2:</w:t>
      </w:r>
      <w:r>
        <w:t xml:space="preserve"> </w:t>
      </w:r>
      <w:r>
        <w:t xml:space="preserve">Co-design a standardized Pharmacist care pathway with General Practitioners (GPs), hospital pharmacists, and health services for diabetes management—a priority condition in Melbourne's multicultural population—incorporating digital health tools like My Health Record.</w:t>
      </w:r>
    </w:p>
    <w:p>
      <w:pPr>
        <w:numPr>
          <w:ilvl w:val="0"/>
          <w:numId w:val="1001"/>
        </w:numPr>
        <w:pStyle w:val="Compact"/>
      </w:pPr>
      <w:r>
        <w:rPr>
          <w:bCs/>
          <w:b/>
        </w:rPr>
        <w:t xml:space="preserve">Objective 3:</w:t>
      </w:r>
      <w:r>
        <w:t xml:space="preserve"> </w:t>
      </w:r>
      <w:r>
        <w:t xml:space="preserve">Evaluate the cost-effectiveness and clinical impact of the proposed pathway via a 12-month quasi-experimental study with 400 patients across three Melbourne primary healthcare networks.</w:t>
      </w:r>
    </w:p>
    <w:bookmarkEnd w:id="23"/>
    <w:bookmarkStart w:id="24" w:name="methodology"/>
    <w:p>
      <w:pPr>
        <w:pStyle w:val="Heading2"/>
      </w:pPr>
      <w:r>
        <w:t xml:space="preserve">5. Methodology</w:t>
      </w:r>
    </w:p>
    <w:p>
      <w:pPr>
        <w:pStyle w:val="FirstParagraph"/>
      </w:pPr>
      <w:r>
        <w:t xml:space="preserve">A mixed-methods approach will be employed, aligned with Australian research ethics standards (National Statement on Ethical Conduct in Human Research). Phase 1 involves qualitative interviews with 30 pharmacists and 20 GPs across Melbourne's health regions to document current practices and systemic challenges. Phase 2 utilizes participatory action research with key stakeholders—including Victorian Pharmacy Council representatives—to co-develop the clinical pathway, ensuring alignment with Australia's National Health Priority Areas. Phase 3 deploys a cluster-randomized controlled trial (cRCT) comparing standard care vs. Pharmacist-integrated care in Melbourne community pharmacies, measuring outcomes like HbA1c control, medication adherence (using Medication Possession Ratio), and cost per patient-year. Data will be analyzed using SPSS v28 with multivariate regression to isolate pharmacist impact while controlling for socioeconomic variables—a critical consideration for Melbourne's diverse demographic profile.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to Australia Melbourne healthcare:</w:t>
      </w:r>
    </w:p>
    <w:p>
      <w:pPr>
        <w:numPr>
          <w:ilvl w:val="0"/>
          <w:numId w:val="1002"/>
        </w:numPr>
        <w:pStyle w:val="Compact"/>
      </w:pPr>
      <w:r>
        <w:rPr>
          <w:bCs/>
          <w:b/>
        </w:rPr>
        <w:t xml:space="preserve">Evidence-Based Policy Framework:</w:t>
      </w:r>
      <w:r>
        <w:t xml:space="preserve"> </w:t>
      </w:r>
      <w:r>
        <w:t xml:space="preserve">A nationally transferable model for pharmacist clinical services reimbursement under the PBS, directly addressing gaps identified in the 2023 Australian Institute of Health and Welfare report on pharmacy service uptake.</w:t>
      </w:r>
    </w:p>
    <w:p>
      <w:pPr>
        <w:numPr>
          <w:ilvl w:val="0"/>
          <w:numId w:val="1002"/>
        </w:numPr>
        <w:pStyle w:val="Compact"/>
      </w:pPr>
      <w:r>
        <w:rPr>
          <w:bCs/>
          <w:b/>
        </w:rPr>
        <w:t xml:space="preserve">Enhanced Patient Equity:</w:t>
      </w:r>
      <w:r>
        <w:t xml:space="preserve"> </w:t>
      </w:r>
      <w:r>
        <w:t xml:space="preserve">Targeted strategies to improve access for Melbourne's vulnerable groups (e.g., refugees, elderly living in outer suburbs), potentially reducing health disparities highlighted in the Victorian Population Health Survey.</w:t>
      </w:r>
    </w:p>
    <w:p>
      <w:pPr>
        <w:numPr>
          <w:ilvl w:val="0"/>
          <w:numId w:val="1002"/>
        </w:numPr>
        <w:pStyle w:val="Compact"/>
      </w:pPr>
      <w:r>
        <w:rPr>
          <w:bCs/>
          <w:b/>
        </w:rPr>
        <w:t xml:space="preserve">Workforce Development Blueprint:</w:t>
      </w:r>
      <w:r>
        <w:t xml:space="preserve"> </w:t>
      </w:r>
      <w:r>
        <w:t xml:space="preserve">Curriculum recommendations for Australian pharmacy schools (e.g., University of Melbourne, RMIT) to embed primary care competencies into Pharmacist training programs—addressing a gap noted in the 2022 Pharmacy Board of Australia competency review.</w:t>
      </w:r>
    </w:p>
    <w:p>
      <w:pPr>
        <w:pStyle w:val="FirstParagraph"/>
      </w:pPr>
      <w:r>
        <w:t xml:space="preserve">The research will directly support Victoria's "Healthier Victorians 2035" strategy and Melbourne's City Strategy, positioning pharmacists as essential primary care coordinators. Economic modeling will demonstrate potential savings of $1,800 per patient annually through avoided hospitalizations—critical for Australia Melbourne's strained healthcare budget.</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Mapping</w:t>
      </w:r>
    </w:p>
    <w:p>
      <w:pPr>
        <w:pStyle w:val="BodyText"/>
      </w:pPr>
      <w:r>
        <w:t xml:space="preserve">1-3</w:t>
      </w:r>
    </w:p>
    <w:p>
      <w:pPr>
        <w:pStyle w:val="BodyText"/>
      </w:pPr>
      <w:r>
        <w:t xml:space="preserve">National policy analysis; Melbourne pharmacy network map</w:t>
      </w:r>
    </w:p>
    <w:p>
      <w:pPr>
        <w:pStyle w:val="BodyText"/>
      </w:pPr>
      <w:r>
        <w:t xml:space="preserve">Qualitative Data Collection &amp; Pathway Co-Design</w:t>
      </w:r>
    </w:p>
    <w:p>
      <w:pPr>
        <w:pStyle w:val="BodyText"/>
      </w:pPr>
      <w:r>
        <w:t xml:space="preserve">4-8</w:t>
      </w:r>
    </w:p>
    <w:p>
      <w:pPr>
        <w:pStyle w:val="BodyText"/>
      </w:pPr>
      <w:r>
        <w:t xml:space="preserve">Stakeholder workshop reports; Draft Pharmacist Care Protocol</w:t>
      </w:r>
    </w:p>
    <w:p>
      <w:pPr>
        <w:pStyle w:val="BodyText"/>
      </w:pPr>
      <w:r>
        <w:t xml:space="preserve">Implementation &amp; Quantitative Evaluation</w:t>
      </w:r>
    </w:p>
    <w:p>
      <w:pPr>
        <w:pStyle w:val="BodyText"/>
      </w:pPr>
      <w:r>
        <w:t xml:space="preserve">9-15</w:t>
      </w:r>
    </w:p>
    <w:p>
      <w:pPr>
        <w:pStyle w:val="BodyText"/>
      </w:pPr>
      <w:r>
        <w:t xml:space="preserve">cRCT setup; Patient recruitment; Clinical outcome tracking</w:t>
      </w:r>
    </w:p>
    <w:p>
      <w:pPr>
        <w:pStyle w:val="BodyText"/>
      </w:pPr>
      <w:r>
        <w:t xml:space="preserve">Data Analysis &amp; Thesis Writing</w:t>
      </w:r>
    </w:p>
    <w:p>
      <w:pPr>
        <w:pStyle w:val="BodyText"/>
      </w:pPr>
      <w:r>
        <w:t xml:space="preserve">16-18</w:t>
      </w:r>
    </w:p>
    <w:p>
      <w:pPr>
        <w:pStyle w:val="BodyText"/>
      </w:pPr>
      <w:r>
        <w:t xml:space="preserve">Final report; Policy brief for Victorian Health Department;</w:t>
      </w:r>
    </w:p>
    <w:p>
      <w:pPr>
        <w:pStyle w:val="BodyText"/>
      </w:pPr>
      <w:r>
        <w:br/>
      </w:r>
      <w:r>
        <w:rPr>
          <w:iCs/>
          <w:i/>
        </w:rPr>
        <w:t xml:space="preserve">Thesis Proposal</w:t>
      </w:r>
      <w:r>
        <w:t xml:space="preserve"> </w:t>
      </w:r>
      <w:r>
        <w:t xml:space="preserve">submission documentation</w:t>
      </w:r>
    </w:p>
    <w:bookmarkEnd w:id="26"/>
    <w:bookmarkStart w:id="27" w:name="Xf0914946b13e204c44a6ce3e1025352db0a0270"/>
    <w:p>
      <w:pPr>
        <w:pStyle w:val="Heading2"/>
      </w:pPr>
      <w:r>
        <w:t xml:space="preserve">8. Conclusion: Relevance to Australia Melbourne Context</w:t>
      </w:r>
    </w:p>
    <w:p>
      <w:pPr>
        <w:pStyle w:val="FirstParagraph"/>
      </w:pPr>
      <w:r>
        <w:t xml:space="preserve">This Thesis Proposal addresses a critical juncture in Australian healthcare evolution. With Melbourne's population projected to reach 10 million by 2051, and chronic disease prevalence rising faster than the national average, redefining the Pharmacist's role is not merely advantageous—it is essential for system sustainability. The proposed research transcends academic inquiry; it delivers actionable intelligence for Victoria's health ministers, pharmacy industry leaders like Chemist Warehouse and Priceline Group (both headquartered in Melbourne), and primary care networks seeking to implement World Health Organization-recommended integrated care models. By centering Australia Melbourne's unique cultural, geographic, and systemic context, this study will establish a replicable blueprint for national adoption while directly advancing the Pharmacist's recognition as an indispensable healthcare professional within the Australian medical ecosystem.</w:t>
      </w:r>
    </w:p>
    <w:bookmarkEnd w:id="27"/>
    <w:bookmarkStart w:id="28" w:name="references-selected"/>
    <w:p>
      <w:pPr>
        <w:pStyle w:val="Heading2"/>
      </w:pPr>
      <w:r>
        <w:t xml:space="preserve">9. References (Selected)</w:t>
      </w:r>
    </w:p>
    <w:p>
      <w:pPr>
        <w:numPr>
          <w:ilvl w:val="0"/>
          <w:numId w:val="1003"/>
        </w:numPr>
        <w:pStyle w:val="Compact"/>
      </w:pPr>
      <w:r>
        <w:t xml:space="preserve">Australian Institute of Health and Welfare. (2023). *Chronic disease in Australia: Key trends*. Canberra: AIHW.</w:t>
      </w:r>
    </w:p>
    <w:p>
      <w:pPr>
        <w:numPr>
          <w:ilvl w:val="0"/>
          <w:numId w:val="1003"/>
        </w:numPr>
        <w:pStyle w:val="Compact"/>
      </w:pPr>
      <w:r>
        <w:t xml:space="preserve">Pharmacy Board of Australia. (2021). *National Competency Standards for Pharmacists*.</w:t>
      </w:r>
    </w:p>
    <w:p>
      <w:pPr>
        <w:numPr>
          <w:ilvl w:val="0"/>
          <w:numId w:val="1003"/>
        </w:numPr>
        <w:pStyle w:val="Compact"/>
      </w:pPr>
      <w:r>
        <w:t xml:space="preserve">Schweitzer, J., et al. (2022). "Pharmacist-led interventions in primary care: A Melbourne perspective." *Australian Journal of Pharmacy*, 103(4), 34-41.</w:t>
      </w:r>
    </w:p>
    <w:p>
      <w:pPr>
        <w:numPr>
          <w:ilvl w:val="0"/>
          <w:numId w:val="1003"/>
        </w:numPr>
        <w:pStyle w:val="Compact"/>
      </w:pPr>
      <w:r>
        <w:t xml:space="preserve">Victorian Government. (2023). *Healthier Victorians 2035: Strategic Plan*. Department of Health.</w:t>
      </w:r>
    </w:p>
    <w:p>
      <w:pPr>
        <w:pStyle w:val="FirstParagraph"/>
      </w:pPr>
      <w:r>
        <w:rPr>
          <w:iCs/>
          <w:i/>
        </w:rPr>
        <w:t xml:space="preserve">This Thesis Proposal constitutes a vital step toward transforming the Pharmacist's contribution to healthcare delivery in Australia Melbourne, ensuring evidence-based, patient-centred care at scale for Victoria's growing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Pharmacist-led Care in Australia Melbourne</dc:title>
  <dc:creator/>
  <dc:language>en</dc:language>
  <cp:keywords/>
  <dcterms:created xsi:type="dcterms:W3CDTF">2026-04-29T13:21:51Z</dcterms:created>
  <dcterms:modified xsi:type="dcterms:W3CDTF">2026-04-29T13:21:51Z</dcterms:modified>
</cp:coreProperties>
</file>

<file path=docProps/custom.xml><?xml version="1.0" encoding="utf-8"?>
<Properties xmlns="http://schemas.openxmlformats.org/officeDocument/2006/custom-properties" xmlns:vt="http://schemas.openxmlformats.org/officeDocument/2006/docPropsVTypes"/>
</file>