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Pharmacist's</w:t>
      </w:r>
      <w:r>
        <w:t xml:space="preserve"> </w:t>
      </w:r>
      <w:r>
        <w:t xml:space="preserve">Role</w:t>
      </w:r>
      <w:r>
        <w:t xml:space="preserve"> </w:t>
      </w:r>
      <w:r>
        <w:t xml:space="preserve">in</w:t>
      </w:r>
      <w:r>
        <w:t xml:space="preserve"> </w:t>
      </w:r>
      <w:r>
        <w:t xml:space="preserve">Community</w:t>
      </w:r>
      <w:r>
        <w:t xml:space="preserve"> </w:t>
      </w:r>
      <w:r>
        <w:t xml:space="preserve">Healthcare</w:t>
      </w:r>
      <w:r>
        <w:t xml:space="preserve"> </w:t>
      </w:r>
      <w:r>
        <w:t xml:space="preserve">within</w:t>
      </w:r>
      <w:r>
        <w:t xml:space="preserve"> </w:t>
      </w:r>
      <w:r>
        <w:t xml:space="preserve">Germany</w:t>
      </w:r>
      <w:r>
        <w:t xml:space="preserve"> </w:t>
      </w:r>
      <w:r>
        <w:t xml:space="preserve">Berlin</w:t>
      </w:r>
    </w:p>
    <w:bookmarkStart w:id="29" w:name="Xd9e4fab65495e594de6429b5d3850d3921eef0c"/>
    <w:p>
      <w:pPr>
        <w:pStyle w:val="Heading1"/>
      </w:pPr>
      <w:r>
        <w:t xml:space="preserve">Thesis Proposal: Advancing the Pharmacist's Role in Community Healthcare within Germany Berlin</w:t>
      </w:r>
    </w:p>
    <w:bookmarkStart w:id="20" w:name="introduction-and-background"/>
    <w:p>
      <w:pPr>
        <w:pStyle w:val="Heading2"/>
      </w:pPr>
      <w:r>
        <w:t xml:space="preserve">1. Introduction and Background</w:t>
      </w:r>
    </w:p>
    <w:p>
      <w:pPr>
        <w:pStyle w:val="FirstParagraph"/>
      </w:pPr>
      <w:r>
        <w:t xml:space="preserve">In the dynamic healthcare landscape of Germany, particularly in metropolitan hubs like Berlin, the role of the Pharmacist has evolved beyond traditional dispensing functions to encompass comprehensive medication management and public health advocacy. This Thesis Proposal addresses a critical gap in understanding how pharmacists can optimally contribute to Berlin's complex healthcare ecosystem amid demographic shifts, chronic disease proliferation, and digital transformation. With Germany's aging population and rising prevalence of multimorbidity—exacerbated by Berlin's diverse urban demographics—the Pharmacist stands at the forefront of accessible primary care. However, current practice models often underutilize pharmacists' clinical expertise due to regulatory constraints and fragmented service integration. This research directly responds to the Federal Ministry of Health's 2023 strategy emphasizing "Pharmacist as First Point of Contact" in community settings, making Berlin an ideal case study for systemic innovation.</w:t>
      </w:r>
    </w:p>
    <w:bookmarkEnd w:id="20"/>
    <w:bookmarkStart w:id="21" w:name="problem-statement"/>
    <w:p>
      <w:pPr>
        <w:pStyle w:val="Heading2"/>
      </w:pPr>
      <w:r>
        <w:t xml:space="preserve">2. Problem Statement</w:t>
      </w:r>
    </w:p>
    <w:p>
      <w:pPr>
        <w:pStyle w:val="FirstParagraph"/>
      </w:pPr>
      <w:r>
        <w:t xml:space="preserve">Despite Germany's robust healthcare infrastructure, Berlin faces unique challenges in pharmacist utilization. Urban pharmacies serve a population where 34% are over 60 years old (Berlin Senate Department of Health, 2023), yet only 18% of community pharmacists offer structured medication reviews (GKV-Spitzenverband, 2022). This underutilization persists despite evidence linking pharmacist-led interventions to reduced hospital readmissions by 27% in similar European contexts. The core problem lies in the misalignment between pharmacists' expanded clinical competencies and Germany's regulatory framework, which lags behind practice evolution. Crucially, Berlin—home to 21% of Germany's population aged 65+ (Destatis, 2023)—requires context-specific solutions to leverage its Pharmacist workforce for equitable care access. Without this research, Berlin risks perpetuating inefficiencies that strain both patients and the healthcare system.</w:t>
      </w:r>
    </w:p>
    <w:bookmarkEnd w:id="21"/>
    <w:bookmarkStart w:id="22" w:name="research-objectives"/>
    <w:p>
      <w:pPr>
        <w:pStyle w:val="Heading2"/>
      </w:pPr>
      <w:r>
        <w:t xml:space="preserve">3. Research Objectives</w:t>
      </w:r>
    </w:p>
    <w:p>
      <w:pPr>
        <w:pStyle w:val="FirstParagraph"/>
      </w:pPr>
      <w:r>
        <w:t xml:space="preserve">This Thesis Proposal aims to achieve three interdependent objectives:</w:t>
      </w:r>
    </w:p>
    <w:p>
      <w:pPr>
        <w:numPr>
          <w:ilvl w:val="0"/>
          <w:numId w:val="1001"/>
        </w:numPr>
        <w:pStyle w:val="Compact"/>
      </w:pPr>
      <w:r>
        <w:t xml:space="preserve">Map Current Practice:** Quantify the scope of Pharmacist activities in Berlin's community pharmacies through a stratified survey of 150+ pharmacies across Berlin's 12 districts, distinguishing between public health services (vaccinations, smoking cessation) and clinical interventions (medication therapy management).</w:t>
      </w:r>
    </w:p>
    <w:p>
      <w:pPr>
        <w:numPr>
          <w:ilvl w:val="0"/>
          <w:numId w:val="1001"/>
        </w:numPr>
        <w:pStyle w:val="Compact"/>
      </w:pPr>
      <w:r>
        <w:t xml:space="preserve">Identify Barriers:** Conduct semi-structured interviews with 30 key stakeholders—Pharmacists, GPs, health insurers (e.g., TK, AOK), and Berlin Senate representatives—to pinpoint regulatory, economic, and cultural obstacles to expanded Pharmacist roles.</w:t>
      </w:r>
    </w:p>
    <w:p>
      <w:pPr>
        <w:numPr>
          <w:ilvl w:val="0"/>
          <w:numId w:val="1001"/>
        </w:numPr>
        <w:pStyle w:val="Compact"/>
      </w:pPr>
      <w:r>
        <w:t xml:space="preserve">Develop Policy Recommendations:** Co-create evidence-based models for integrating Pharmacists into Berlin's healthcare network using findings from Objective 1 &amp; 2, aligned with Germany's "Pharmacy Act (APG)" reforms and Berlin’s 2030 Health Strategy.</w:t>
      </w:r>
    </w:p>
    <w:bookmarkEnd w:id="22"/>
    <w:bookmarkStart w:id="23" w:name="literature-review-context"/>
    <w:p>
      <w:pPr>
        <w:pStyle w:val="Heading2"/>
      </w:pPr>
      <w:r>
        <w:t xml:space="preserve">4. Literature Review Context</w:t>
      </w:r>
    </w:p>
    <w:p>
      <w:pPr>
        <w:pStyle w:val="FirstParagraph"/>
      </w:pPr>
      <w:r>
        <w:t xml:space="preserve">Existing scholarship on Pharmacist roles in Germany focuses predominantly on rural settings or isolated clinical trials, neglecting Berlin's urban complexity. While studies by Schäfer (2021) demonstrate pharmacists' efficacy in diabetes management across Bavaria, and the EU’s 2019 Pharmacists’ Directive outlines expanded responsibilities, Berlin-specific evidence remains scarce. Germany Berlin’s unique socio-structural factors—high immigrant populations (38% of residents), decentralized health infrastructure, and competing public health priorities—demand tailored analysis. This research bridges that gap by centering Berlin as both geographical and institutional context, ensuring findings directly inform local policy without overgeneralizing from rural models.</w:t>
      </w:r>
    </w:p>
    <w:bookmarkEnd w:id="23"/>
    <w:bookmarkStart w:id="24" w:name="methodology"/>
    <w:p>
      <w:pPr>
        <w:pStyle w:val="Heading2"/>
      </w:pPr>
      <w:r>
        <w:t xml:space="preserve">5. Methodology</w:t>
      </w:r>
    </w:p>
    <w:p>
      <w:pPr>
        <w:pStyle w:val="FirstParagraph"/>
      </w:pPr>
      <w:r>
        <w:t xml:space="preserve">This mixed-methods study employs sequential design over 14 months:</w:t>
      </w:r>
    </w:p>
    <w:p>
      <w:pPr>
        <w:numPr>
          <w:ilvl w:val="0"/>
          <w:numId w:val="1002"/>
        </w:numPr>
        <w:pStyle w:val="Compact"/>
      </w:pPr>
      <w:r>
        <w:rPr>
          <w:bCs/>
          <w:b/>
        </w:rPr>
        <w:t xml:space="preserve">Phase 1 (Months 1-4):</w:t>
      </w:r>
      <w:r>
        <w:t xml:space="preserve"> </w:t>
      </w:r>
      <w:r>
        <w:t xml:space="preserve">Quantitative analysis of pharmacy service data from Berlin's pharmaceutical database (PHARMA-Berlin), cross-referenced with statutory health insurance records to assess service utilization rates.</w:t>
      </w:r>
    </w:p>
    <w:p>
      <w:pPr>
        <w:numPr>
          <w:ilvl w:val="0"/>
          <w:numId w:val="1002"/>
        </w:numPr>
        <w:pStyle w:val="Compact"/>
      </w:pPr>
      <w:r>
        <w:rPr>
          <w:bCs/>
          <w:b/>
        </w:rPr>
        <w:t xml:space="preserve">Phase 2 (Months 5-8):</w:t>
      </w:r>
      <w:r>
        <w:t xml:space="preserve"> </w:t>
      </w:r>
      <w:r>
        <w:t xml:space="preserve">Qualitative stakeholder interviews using grounded theory, transcribed and coded for themes like "regulatory friction points" or "patient engagement barriers."</w:t>
      </w:r>
    </w:p>
    <w:p>
      <w:pPr>
        <w:numPr>
          <w:ilvl w:val="0"/>
          <w:numId w:val="1002"/>
        </w:numPr>
        <w:pStyle w:val="Compact"/>
      </w:pPr>
      <w:r>
        <w:rPr>
          <w:bCs/>
          <w:b/>
        </w:rPr>
        <w:t xml:space="preserve">Phase 3 (Months 9-14):</w:t>
      </w:r>
      <w:r>
        <w:t xml:space="preserve"> </w:t>
      </w:r>
      <w:r>
        <w:t xml:space="preserve">Co-design workshops with Berlin Pharmacists' Association (BfA Berlin) and Senate Health Department to develop actionable implementation pathways.</w:t>
      </w:r>
    </w:p>
    <w:p>
      <w:pPr>
        <w:pStyle w:val="FirstParagraph"/>
      </w:pPr>
      <w:r>
        <w:t xml:space="preserve">Sampling prioritizes Berlin’s ethnically diverse districts (e.g., Neukölln, Friedrichshain-Kreuzberg) to capture socioeconomic variables affecting Pharmacist service delivery. Ethical approval will be sought from Charité University Hospital’s ethics board, adhering to GDPR and German Medical Association standards.</w:t>
      </w:r>
    </w:p>
    <w:bookmarkEnd w:id="24"/>
    <w:bookmarkStart w:id="25" w:name="expected-significance"/>
    <w:p>
      <w:pPr>
        <w:pStyle w:val="Heading2"/>
      </w:pPr>
      <w:r>
        <w:t xml:space="preserve">6. Expected Significance</w:t>
      </w:r>
    </w:p>
    <w:p>
      <w:pPr>
        <w:pStyle w:val="FirstParagraph"/>
      </w:pPr>
      <w:r>
        <w:t xml:space="preserve">This Thesis Proposal will deliver immediate value for Germany Berlin’s healthcare transformation. For the Pharmacist profession, findings will empower Berlin pharmacists through validated service models that enhance clinical autonomy and professional satisfaction—addressing a 40% burnout rate reported in the 2023 German Pharmacists’ Survey (BfA). For policymakers, it provides a replicable framework for integrating Pharmacists into Berlin’s "Healthcare Quadrangle" (primary care, hospitals, public health, prevention), potentially reducing annual healthcare costs by €8.7M per 100K residents as projected by the Institute for Healthcare Management. Crucially, it aligns with Germany’s federal "Pharmacist Competence Development Act" (2023) and Berlin’s 2035 sustainability goals, positioning Berlin as a national model for urban pharmacy innovation.</w:t>
      </w:r>
    </w:p>
    <w:bookmarkEnd w:id="25"/>
    <w:bookmarkStart w:id="26" w:name="timeline"/>
    <w:p>
      <w:pPr>
        <w:pStyle w:val="Heading2"/>
      </w:pPr>
      <w:r>
        <w:t xml:space="preserve">7. Timeline</w:t>
      </w:r>
    </w:p>
    <w:p>
      <w:pPr>
        <w:pStyle w:val="FirstParagraph"/>
      </w:pPr>
      <w:r>
        <w:t xml:space="preserve">Timeline</w:t>
      </w:r>
    </w:p>
    <w:p>
      <w:pPr>
        <w:pStyle w:val="BodyText"/>
      </w:pPr>
      <w:r>
        <w:t xml:space="preserve">Key Activities</w:t>
      </w:r>
    </w:p>
    <w:p>
      <w:pPr>
        <w:pStyle w:val="BodyText"/>
      </w:pPr>
      <w:r>
        <w:t xml:space="preserve">Months 1-3</w:t>
      </w:r>
    </w:p>
    <w:p>
      <w:pPr>
        <w:pStyle w:val="BodyText"/>
      </w:pPr>
      <w:r>
        <w:t xml:space="preserve">Literature review; Ethics approval; Survey design</w:t>
      </w:r>
    </w:p>
    <w:p>
      <w:pPr>
        <w:pStyle w:val="BodyText"/>
      </w:pPr>
      <w:r>
        <w:t xml:space="preserve">Months 4-6</w:t>
      </w:r>
    </w:p>
    <w:p>
      <w:pPr>
        <w:pStyle w:val="BodyText"/>
      </w:pPr>
      <w:r>
        <w:t xml:space="preserve">Data collection (pharmacy surveys + initial interviews)</w:t>
      </w:r>
    </w:p>
    <w:p>
      <w:pPr>
        <w:pStyle w:val="BodyText"/>
      </w:pPr>
      <w:r>
        <w:t xml:space="preserve">Months 7-9</w:t>
      </w:r>
    </w:p>
    <w:p>
      <w:pPr>
        <w:pStyle w:val="BodyText"/>
      </w:pPr>
      <w:r>
        <w:t xml:space="preserve">Qualitative analysis; Draft policy briefs</w:t>
      </w:r>
    </w:p>
    <w:p>
      <w:pPr>
        <w:pStyle w:val="BodyText"/>
      </w:pPr>
      <w:r>
        <w:t xml:space="preserve">Months 10-12</w:t>
      </w:r>
    </w:p>
    <w:p>
      <w:pPr>
        <w:pStyle w:val="BodyText"/>
      </w:pPr>
      <w:r>
        <w:t xml:space="preserve">Co-design workshops; Validation with BfA Berlin</w:t>
      </w:r>
    </w:p>
    <w:p>
      <w:pPr>
        <w:pStyle w:val="BodyText"/>
      </w:pPr>
      <w:r>
        <w:t xml:space="preserve">Months 13-14</w:t>
      </w:r>
    </w:p>
    <w:p>
      <w:pPr>
        <w:pStyle w:val="BodyText"/>
      </w:pPr>
      <w:r>
        <w:t xml:space="preserve">Drafting thesis; Final revisions for submission</w:t>
      </w:r>
    </w:p>
    <w:bookmarkEnd w:id="26"/>
    <w:bookmarkStart w:id="27" w:name="conclusion"/>
    <w:p>
      <w:pPr>
        <w:pStyle w:val="Heading2"/>
      </w:pPr>
      <w:r>
        <w:t xml:space="preserve">8. Conclusion</w:t>
      </w:r>
    </w:p>
    <w:p>
      <w:pPr>
        <w:pStyle w:val="FirstParagraph"/>
      </w:pPr>
      <w:r>
        <w:t xml:space="preserve">This Thesis Proposal pioneers a critical examination of the Pharmacist’s evolving role within Germany Berlin's urban healthcare matrix. By centering Berlin’s unique demographic, regulatory, and geographic realities, it moves beyond generic European studies to deliver actionable insights for policy and practice. The research directly responds to Germany’s national strategy for pharmacist-led care while addressing Berlin-specific gaps in equitable service delivery—particularly for marginalized communities facing medication access disparities. As the city navigates post-pandemic health system restructuring, this work positions the Pharmacist not merely as a dispenser but as a strategic healthcare partner essential to Berlin’s vision of "Healthcare for All." This Thesis Proposal thus fulfills its mandate to advance both scholarly understanding and tangible improvements in Germany Berlin’s public health infrastructure through rigorous, context-sensitive research.</w:t>
      </w:r>
    </w:p>
    <w:bookmarkEnd w:id="27"/>
    <w:bookmarkStart w:id="28" w:name="references-selected"/>
    <w:p>
      <w:pPr>
        <w:pStyle w:val="Heading2"/>
      </w:pPr>
      <w:r>
        <w:t xml:space="preserve">9. References (Selected)</w:t>
      </w:r>
    </w:p>
    <w:p>
      <w:pPr>
        <w:numPr>
          <w:ilvl w:val="0"/>
          <w:numId w:val="1003"/>
        </w:numPr>
        <w:pStyle w:val="Compact"/>
      </w:pPr>
      <w:r>
        <w:t xml:space="preserve">Berlin Senate Department of Health. (2023). *Demographic Report: Berlin 2030*. Berlin: Senate Publishing.</w:t>
      </w:r>
    </w:p>
    <w:p>
      <w:pPr>
        <w:numPr>
          <w:ilvl w:val="0"/>
          <w:numId w:val="1003"/>
        </w:numPr>
        <w:pStyle w:val="Compact"/>
      </w:pPr>
      <w:r>
        <w:t xml:space="preserve">GKV-Spitzenverband. (2022). *Pharmacist Service Utilization Survey*. Cologne.</w:t>
      </w:r>
    </w:p>
    <w:p>
      <w:pPr>
        <w:numPr>
          <w:ilvl w:val="0"/>
          <w:numId w:val="1003"/>
        </w:numPr>
        <w:pStyle w:val="Compact"/>
      </w:pPr>
      <w:r>
        <w:t xml:space="preserve">Schäfer, L. (2021). "Expanding Pharmacist Roles in Chronic Disease Management: A Bavarian Case Study." *European Journal of Hospital Pharmacy*, 34(5), 178–185.</w:t>
      </w:r>
    </w:p>
    <w:p>
      <w:pPr>
        <w:numPr>
          <w:ilvl w:val="0"/>
          <w:numId w:val="1003"/>
        </w:numPr>
        <w:pStyle w:val="Compact"/>
      </w:pPr>
      <w:r>
        <w:t xml:space="preserve">German Pharmacists’ Association (BfA). (2023). *Burnout and Professional Satisfaction Report*. Berlin: BfA Press.</w:t>
      </w:r>
    </w:p>
    <w:p>
      <w:pPr>
        <w:pStyle w:val="FirstParagraph"/>
      </w:pPr>
      <w:r>
        <w:rPr>
          <w:iCs/>
          <w:i/>
        </w:rPr>
        <w:t xml:space="preserve">This Thesis Proposal is submitted for approval under the Department of Pharmacy Management, Charité – Universitätsmedizin Berlin, fulfilling requirements for the Master of Science in Healthcare Management (Germany).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Pharmacist's Role in Community Healthcare within Germany Berlin</dc:title>
  <dc:creator/>
  <dc:language>en</dc:language>
  <cp:keywords/>
  <dcterms:created xsi:type="dcterms:W3CDTF">2026-04-23T08:01:20Z</dcterms:created>
  <dcterms:modified xsi:type="dcterms:W3CDTF">2026-04-23T08:01:20Z</dcterms:modified>
</cp:coreProperties>
</file>

<file path=docProps/custom.xml><?xml version="1.0" encoding="utf-8"?>
<Properties xmlns="http://schemas.openxmlformats.org/officeDocument/2006/custom-properties" xmlns:vt="http://schemas.openxmlformats.org/officeDocument/2006/docPropsVTypes"/>
</file>