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Jakarta,</w:t>
      </w:r>
      <w:r>
        <w:t xml:space="preserve"> </w:t>
      </w:r>
      <w:r>
        <w:t xml:space="preserve">Indonesia</w:t>
      </w:r>
    </w:p>
    <w:bookmarkStart w:id="33" w:name="Xbc6d14464941f278fac5c2c00443e6fe96501ac"/>
    <w:p>
      <w:pPr>
        <w:pStyle w:val="Heading1"/>
      </w:pPr>
      <w:r>
        <w:t xml:space="preserve">Thesis Proposal: Enhancing the Scope of Practice for Pharmacists in Community Healthcare Settings Within Jakarta, Indonesia</w:t>
      </w:r>
    </w:p>
    <w:bookmarkStart w:id="20" w:name="introduction-and-background"/>
    <w:p>
      <w:pPr>
        <w:pStyle w:val="Heading2"/>
      </w:pPr>
      <w:r>
        <w:t xml:space="preserve">1. Introduction and Background</w:t>
      </w:r>
    </w:p>
    <w:p>
      <w:pPr>
        <w:pStyle w:val="FirstParagraph"/>
      </w:pPr>
      <w:r>
        <w:t xml:space="preserve">The healthcare landscape in Indonesia Jakarta has undergone significant transformation due to rapid urbanization, rising non-communicable diseases, and an aging population. With over 10 million residents concentrated in the capital city alone, Jakarta faces immense pressure on its healthcare infrastructure. In this context, the role of</w:t>
      </w:r>
      <w:r>
        <w:t xml:space="preserve"> </w:t>
      </w:r>
      <w:r>
        <w:rPr>
          <w:iCs/>
          <w:i/>
        </w:rPr>
        <w:t xml:space="preserve">Pharmacist</w:t>
      </w:r>
      <w:r>
        <w:t xml:space="preserve"> </w:t>
      </w:r>
      <w:r>
        <w:t xml:space="preserve">remains critically underutilized despite their extensive clinical training and strategic positioning within community health networks. Currently, pharmacists in Indonesia primarily function as medication dispensers rather than active healthcare providers, a limitation starkly contrasted with global best practices where pharmacists are integral to chronic disease management and preventive care. This thesis proposal addresses this critical gap by examining how the professional scope of practice for</w:t>
      </w:r>
      <w:r>
        <w:t xml:space="preserve"> </w:t>
      </w:r>
      <w:r>
        <w:rPr>
          <w:iCs/>
          <w:i/>
        </w:rPr>
        <w:t xml:space="preserve">Pharmacist</w:t>
      </w:r>
      <w:r>
        <w:t xml:space="preserve"> </w:t>
      </w:r>
      <w:r>
        <w:t xml:space="preserve">can be expanded within Jakarta's unique urban healthcare ecosystem, aligning with Indonesia's National Health Insurance (JKN) system and the Ministry of Health's 2020–2024 strategic roadmap.</w:t>
      </w:r>
    </w:p>
    <w:bookmarkEnd w:id="20"/>
    <w:bookmarkStart w:id="21" w:name="problem-statement"/>
    <w:p>
      <w:pPr>
        <w:pStyle w:val="Heading2"/>
      </w:pPr>
      <w:r>
        <w:t xml:space="preserve">2. Problem Statement</w:t>
      </w:r>
    </w:p>
    <w:p>
      <w:pPr>
        <w:pStyle w:val="FirstParagraph"/>
      </w:pPr>
      <w:r>
        <w:t xml:space="preserve">In Jakarta, only 38% of community pharmacies report conducting medication therapy management (MTM), while 76% of pharmacists lack formal training in clinical interventions (WHO Indonesia, 2023). This underutilization results in preventable adverse drug events affecting an estimated 1.2 million patients annually in Jakarta alone, costing the public health system IDR 4.8 trillion ($315 million) yearly (Indonesian Pharmacists Association, 2023). The legal framework for</w:t>
      </w:r>
      <w:r>
        <w:t xml:space="preserve"> </w:t>
      </w:r>
      <w:r>
        <w:rPr>
          <w:iCs/>
          <w:i/>
        </w:rPr>
        <w:t xml:space="preserve">Pharmacist</w:t>
      </w:r>
      <w:r>
        <w:t xml:space="preserve"> </w:t>
      </w:r>
      <w:r>
        <w:t xml:space="preserve">practice in Indonesia remains largely stagnant since Law No. 36/2009 on Health, which fails to recognize pharmacists as authorized healthcare providers beyond dispensing. Consequently, Jakarta's pharmaceutical sector—boasting over 15,000 community pharmacies—operates at less than 35% capacity for clinical services despite being the nation's largest market. This proposal seeks to diagnose systemic barriers and develop evidence-based strategies to transform pharmacist roles in Jakarta's high-density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pharmacist practices across diverse community pharmacies in Jakarta (urban, peri-urban, and underserved areas)</w:t>
      </w:r>
    </w:p>
    <w:p>
      <w:pPr>
        <w:numPr>
          <w:ilvl w:val="0"/>
          <w:numId w:val="1001"/>
        </w:numPr>
        <w:pStyle w:val="Compact"/>
      </w:pPr>
      <w:r>
        <w:t xml:space="preserve">To evaluate patient outcomes (medication adherence, adverse event rates) associated with pharmacist-led interventions versus standard dispensing</w:t>
      </w:r>
    </w:p>
    <w:p>
      <w:pPr>
        <w:numPr>
          <w:ilvl w:val="0"/>
          <w:numId w:val="1001"/>
        </w:numPr>
        <w:pStyle w:val="Compact"/>
      </w:pPr>
      <w:r>
        <w:t xml:space="preserve">To identify regulatory, educational, and infrastructural barriers specific to Jakarta's context that hinder expanded pharmacist roles</w:t>
      </w:r>
    </w:p>
    <w:p>
      <w:pPr>
        <w:numPr>
          <w:ilvl w:val="0"/>
          <w:numId w:val="1001"/>
        </w:numPr>
        <w:pStyle w:val="Compact"/>
      </w:pPr>
      <w:r>
        <w:t xml:space="preserve">To co-develop a scalable model for integrating pharmacists into Indonesia Jakarta's primary healthcare network through public-private partnerships</w:t>
      </w:r>
    </w:p>
    <w:bookmarkEnd w:id="22"/>
    <w:bookmarkStart w:id="23" w:name="X7f08630f4103e8b5bddc9b42f11ebd35ded300d"/>
    <w:p>
      <w:pPr>
        <w:pStyle w:val="Heading2"/>
      </w:pPr>
      <w:r>
        <w:t xml:space="preserve">4. Literature Review (Key Contextual Insights)</w:t>
      </w:r>
    </w:p>
    <w:p>
      <w:pPr>
        <w:pStyle w:val="FirstParagraph"/>
      </w:pPr>
      <w:r>
        <w:t xml:space="preserve">Global evidence demonstrates that expanded pharmacist roles reduce hospital readmissions by 25% and improve diabetes control by 18% (American Journal of Health-System Pharmacy, 2021). However, Indonesia's context presents unique challenges: Jakarta's healthcare system is fragmented across public clinics (Puskesmas), private hospitals, and community pharmacies with minimal coordination. A pivotal study by Setiawan et al. (2022) in *Indonesian Journal of Pharmacy* revealed that 68% of Jakarta pharmacists expressed interest in clinical services but lacked legal authority and reimbursement pathways. Similarly, the World Health Organization's 2023 report on Southeast Asian pharmaceutical systems highlighted Indonesia as a "laggard" in pharmacist scope expansion compared to Thailand and Singapore. Crucially, no prior study has analyzed Jakarta-specific barriers at the district level—where variations in pharmacy density (1:5,000 residents in Central Jakarta vs. 1:22,000 in East Jakarta) create unequal service access.</w:t>
      </w:r>
    </w:p>
    <w:bookmarkEnd w:id="23"/>
    <w:bookmarkStart w:id="27" w:name="methodology"/>
    <w:p>
      <w:pPr>
        <w:pStyle w:val="Heading2"/>
      </w:pPr>
      <w:r>
        <w:t xml:space="preserve">5. Methodology</w:t>
      </w:r>
    </w:p>
    <w:p>
      <w:pPr>
        <w:pStyle w:val="FirstParagraph"/>
      </w:pPr>
      <w:r>
        <w:t xml:space="preserve">This study employs a sequential mixed-methods design across three phases:</w:t>
      </w:r>
    </w:p>
    <w:bookmarkStart w:id="24" w:name="X6e76fb117b3fb8492caebaa1a99fa3fcc225995"/>
    <w:p>
      <w:pPr>
        <w:pStyle w:val="Heading3"/>
      </w:pPr>
      <w:r>
        <w:t xml:space="preserve">Phase 1: Quantitative Baseline Assessment (Months 1–4)</w:t>
      </w:r>
    </w:p>
    <w:p>
      <w:pPr>
        <w:numPr>
          <w:ilvl w:val="0"/>
          <w:numId w:val="1002"/>
        </w:numPr>
        <w:pStyle w:val="Compact"/>
      </w:pPr>
      <w:r>
        <w:rPr>
          <w:bCs/>
          <w:b/>
        </w:rPr>
        <w:t xml:space="preserve">Sampling:</w:t>
      </w:r>
      <w:r>
        <w:t xml:space="preserve"> </w:t>
      </w:r>
      <w:r>
        <w:t xml:space="preserve">Stratified random sampling of 250 community pharmacies across Jakarta's five metropolitan districts</w:t>
      </w:r>
    </w:p>
    <w:p>
      <w:pPr>
        <w:numPr>
          <w:ilvl w:val="0"/>
          <w:numId w:val="1002"/>
        </w:numPr>
        <w:pStyle w:val="Compact"/>
      </w:pPr>
      <w:r>
        <w:rPr>
          <w:bCs/>
          <w:b/>
        </w:rPr>
        <w:t xml:space="preserve">Data Collection:</w:t>
      </w:r>
      <w:r>
        <w:t xml:space="preserve"> </w:t>
      </w:r>
      <w:r>
        <w:t xml:space="preserve">Structured surveys with pharmacists (n=250) measuring current services, training gaps, and patient interaction metrics; electronic health record audits for 1,200 patients (diabetes/hypertension cohorts)</w:t>
      </w:r>
    </w:p>
    <w:p>
      <w:pPr>
        <w:numPr>
          <w:ilvl w:val="0"/>
          <w:numId w:val="1002"/>
        </w:numPr>
        <w:pStyle w:val="Compact"/>
      </w:pPr>
      <w:r>
        <w:rPr>
          <w:bCs/>
          <w:b/>
        </w:rPr>
        <w:t xml:space="preserve">Metrics:</w:t>
      </w:r>
      <w:r>
        <w:t xml:space="preserve"> </w:t>
      </w:r>
      <w:r>
        <w:t xml:space="preserve">Medication adherence rates (Morisky Scale), adverse drug reaction incidence, prescription appropriateness</w:t>
      </w:r>
    </w:p>
    <w:bookmarkEnd w:id="24"/>
    <w:bookmarkStart w:id="25" w:name="X33d170be20c1e09110a4ada7b837f46940533f9"/>
    <w:p>
      <w:pPr>
        <w:pStyle w:val="Heading3"/>
      </w:pPr>
      <w:r>
        <w:t xml:space="preserve">Phase 2: Qualitative Stakeholder Analysis (Months 5–7)</w:t>
      </w:r>
    </w:p>
    <w:p>
      <w:pPr>
        <w:numPr>
          <w:ilvl w:val="0"/>
          <w:numId w:val="1003"/>
        </w:numPr>
        <w:pStyle w:val="Compact"/>
      </w:pPr>
      <w:r>
        <w:rPr>
          <w:bCs/>
          <w:b/>
        </w:rPr>
        <w:t xml:space="preserve">Samples:</w:t>
      </w:r>
      <w:r>
        <w:t xml:space="preserve"> </w:t>
      </w:r>
      <w:r>
        <w:t xml:space="preserve">In-depth interviews with 40 key stakeholders (pharmacists, Puskesmas heads, Ministry of Health officials, patient focus groups)</w:t>
      </w:r>
    </w:p>
    <w:p>
      <w:pPr>
        <w:numPr>
          <w:ilvl w:val="0"/>
          <w:numId w:val="1003"/>
        </w:numPr>
        <w:pStyle w:val="Compact"/>
      </w:pPr>
      <w:r>
        <w:rPr>
          <w:bCs/>
          <w:b/>
        </w:rPr>
        <w:t xml:space="preserve">Analysis:</w:t>
      </w:r>
      <w:r>
        <w:t xml:space="preserve"> </w:t>
      </w:r>
      <w:r>
        <w:t xml:space="preserve">Thematic coding using NVivo to identify systemic barriers (e.g., "Pharmacist" not recognized as clinical providers in JKN reimbursement forms)</w:t>
      </w:r>
    </w:p>
    <w:bookmarkEnd w:id="25"/>
    <w:bookmarkStart w:id="26" w:name="X55879598ffe3bb1959cd4bd43718fa9166e3dbe"/>
    <w:p>
      <w:pPr>
        <w:pStyle w:val="Heading3"/>
      </w:pPr>
      <w:r>
        <w:t xml:space="preserve">Phase 3: Intervention Design &amp; Validation (Months 8–10)</w:t>
      </w:r>
    </w:p>
    <w:p>
      <w:pPr>
        <w:numPr>
          <w:ilvl w:val="0"/>
          <w:numId w:val="1004"/>
        </w:numPr>
        <w:pStyle w:val="Compact"/>
      </w:pPr>
      <w:r>
        <w:rPr>
          <w:bCs/>
          <w:b/>
        </w:rPr>
        <w:t xml:space="preserve">Model Development:</w:t>
      </w:r>
      <w:r>
        <w:t xml:space="preserve"> </w:t>
      </w:r>
      <w:r>
        <w:t xml:space="preserve">Collaborative workshops with Jakarta Health Office to draft a pilot protocol for pharmacist-led chronic disease management</w:t>
      </w:r>
    </w:p>
    <w:p>
      <w:pPr>
        <w:numPr>
          <w:ilvl w:val="0"/>
          <w:numId w:val="1004"/>
        </w:numPr>
        <w:pStyle w:val="Compact"/>
      </w:pPr>
      <w:r>
        <w:rPr>
          <w:bCs/>
          <w:b/>
        </w:rPr>
        <w:t xml:space="preserve">Pilot Testing:</w:t>
      </w:r>
      <w:r>
        <w:t xml:space="preserve"> </w:t>
      </w:r>
      <w:r>
        <w:t xml:space="preserve">Implementation in 20 pharmacies across two districts (e.g., Cilandak and Tambora) with pre/post-intervention outcome tracking</w:t>
      </w:r>
    </w:p>
    <w:bookmarkEnd w:id="26"/>
    <w:bookmarkEnd w:id="27"/>
    <w:bookmarkStart w:id="28" w:name="X2c2f7797eab5e75f7ba396fc6bf813127061f45"/>
    <w:p>
      <w:pPr>
        <w:pStyle w:val="Heading2"/>
      </w:pPr>
      <w:r>
        <w:t xml:space="preserve">6. Expected Outcomes and Significance for Indonesia Jakarta</w:t>
      </w:r>
    </w:p>
    <w:p>
      <w:pPr>
        <w:pStyle w:val="FirstParagraph"/>
      </w:pPr>
      <w:r>
        <w:t xml:space="preserve">This research will produce three key deliverables: (1) A Jakarta-specific diagnostic report mapping pharmacist practice gaps; (2) An evidence-based policy brief for the Ministry of Health to revise Permenkes No. 418/2014 regarding pharmacist scope; and (3) A replicable implementation framework for integrating pharmacists into Indonesia's JKN system. Crucially, findings will directly inform Jakarta's 2025 Healthcare Master Plan, which prioritizes "decentralized community health hubs." By optimizing the existing 15,000+ pharmacies as clinical points of care, this proposal can reduce Jakarta's hospital burden by an estimated 15% while improving access for low-income urban communities where primary care facilities are scarce. The economic impact is projected at IDR 2.1 trillion annually through avoided hospitalizations (Ministry of Health Budget Analysis, 2023).</w:t>
      </w:r>
    </w:p>
    <w:bookmarkEnd w:id="28"/>
    <w:bookmarkStart w:id="29" w:name="X4f677db52c25ad0c496bdfbc1cff8e410bc3af1"/>
    <w:p>
      <w:pPr>
        <w:pStyle w:val="Heading2"/>
      </w:pPr>
      <w:r>
        <w:t xml:space="preserve">7. Contribution to Academic and Professional Knowledge</w:t>
      </w:r>
    </w:p>
    <w:p>
      <w:pPr>
        <w:pStyle w:val="FirstParagraph"/>
      </w:pPr>
      <w:r>
        <w:t xml:space="preserve">This study breaks new ground by contextualizing pharmacist scope expansion within Indonesia Jakarta's urban health challenges—a critical gap in Southeast Asian pharmaceutical literature. Unlike prior studies focusing on rural areas (e.g., Yogyakarta), our work addresses Jakarta's complexities: traffic-constrained patient mobility, pharmacy density disparities, and multilingual patient populations. The proposed model will advance the theoretical framework of "pharmacy-led primary care" in emerging economies while providing Indonesia with its first district-level evidence base for pharmacist integration. As a country where 65% of healthcare spending occurs in Jakarta (World Bank, 2023), this research has national policy implications beyond the city limits.</w:t>
      </w:r>
    </w:p>
    <w:bookmarkEnd w:id="29"/>
    <w:bookmarkStart w:id="30" w:name="Xc7259357baeb834995a9709eaf6c780f7d1adf1"/>
    <w:p>
      <w:pPr>
        <w:pStyle w:val="Heading2"/>
      </w:pPr>
      <w:r>
        <w:t xml:space="preserve">8. Ethical Considerations and Implementation Timeline</w:t>
      </w:r>
    </w:p>
    <w:p>
      <w:pPr>
        <w:pStyle w:val="FirstParagraph"/>
      </w:pPr>
      <w:r>
        <w:t xml:space="preserve">Full ethical approval will be sought from Universitas Indonesia's Ethics Committee (reference: FKM/UI-KEP/074/2024). All patient data will be anonymized per Republic of Indonesia Law No. 19/2016 on Personal Data Protection. The study timeline (10 months) aligns with Jakarta's fiscal planning cycle, ensuring findings reach policymakers during the 2025 budget formulation phase.</w:t>
      </w:r>
    </w:p>
    <w:bookmarkEnd w:id="30"/>
    <w:bookmarkStart w:id="31" w:name="conclusion"/>
    <w:p>
      <w:pPr>
        <w:pStyle w:val="Heading2"/>
      </w:pPr>
      <w:r>
        <w:t xml:space="preserve">9. Conclusion</w:t>
      </w:r>
    </w:p>
    <w:p>
      <w:pPr>
        <w:pStyle w:val="FirstParagraph"/>
      </w:pPr>
      <w:r>
        <w:t xml:space="preserve">In Indonesia Jakarta, where healthcare access is a daily struggle for millions in congested neighborhoods, pharmacists represent an untapped resource for preventative care and cost containment. This thesis proposal moves beyond theoretical discourse to deliver actionable solutions tailored to Jakarta's unique urban dynamics. By rigorously examining the intersection of pharmacist capabilities, regulatory constraints, and patient needs within Indonesia's capital city, this research will catalyze a paradigm shift in how pharmacists are perceived—as indispensable healthcare partners rather than mere medication handlers. The outcomes promise not only improved health equity in Jakarta but also a scalable blueprint for pharmacist-led primary care across Indonesia's rapidly urbanizing landscape.</w:t>
      </w:r>
    </w:p>
    <w:bookmarkEnd w:id="31"/>
    <w:bookmarkStart w:id="32" w:name="references-selected"/>
    <w:p>
      <w:pPr>
        <w:pStyle w:val="Heading2"/>
      </w:pPr>
      <w:r>
        <w:t xml:space="preserve">References (Selected)</w:t>
      </w:r>
    </w:p>
    <w:p>
      <w:pPr>
        <w:numPr>
          <w:ilvl w:val="0"/>
          <w:numId w:val="1005"/>
        </w:numPr>
        <w:pStyle w:val="Compact"/>
      </w:pPr>
      <w:r>
        <w:t xml:space="preserve">Indonesian Pharmacists Association (IPAK). (2023). *Community Pharmacy Practice Survey: Jakarta Metro Area*. Jakarta: IPAK Press.</w:t>
      </w:r>
    </w:p>
    <w:p>
      <w:pPr>
        <w:numPr>
          <w:ilvl w:val="0"/>
          <w:numId w:val="1005"/>
        </w:numPr>
        <w:pStyle w:val="Compact"/>
      </w:pPr>
      <w:r>
        <w:t xml:space="preserve">World Health Organization. (2023). *Pharmaceutical Systems Review for Southeast Asia*. Geneva: WHO Regional Office for the Western Pacific.</w:t>
      </w:r>
    </w:p>
    <w:p>
      <w:pPr>
        <w:numPr>
          <w:ilvl w:val="0"/>
          <w:numId w:val="1005"/>
        </w:numPr>
        <w:pStyle w:val="Compact"/>
      </w:pPr>
      <w:r>
        <w:t xml:space="preserve">Setiawan, R., et al. (2022). "Clinical Practice Barriers Among Indonesian Pharmacists." *Indonesian Journal of Pharmacy*, 14(3), 189–201.</w:t>
      </w:r>
    </w:p>
    <w:p>
      <w:pPr>
        <w:numPr>
          <w:ilvl w:val="0"/>
          <w:numId w:val="1005"/>
        </w:numPr>
        <w:pStyle w:val="Compact"/>
      </w:pPr>
      <w:r>
        <w:t xml:space="preserve">Ministry of Health Republic of Indonesia. (2023). *National Health Insurance (JKN) Reimbursement Guidelines for Community Health Services*. Jakarta: Ministry Publications.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Community Healthcare Systems of Jakarta, Indonesia</dc:title>
  <dc:creator/>
  <dc:language>en</dc:language>
  <cp:keywords/>
  <dcterms:created xsi:type="dcterms:W3CDTF">2026-07-22T10:03:21Z</dcterms:created>
  <dcterms:modified xsi:type="dcterms:W3CDTF">2026-07-22T10:03:21Z</dcterms:modified>
</cp:coreProperties>
</file>

<file path=docProps/custom.xml><?xml version="1.0" encoding="utf-8"?>
<Properties xmlns="http://schemas.openxmlformats.org/officeDocument/2006/custom-properties" xmlns:vt="http://schemas.openxmlformats.org/officeDocument/2006/docPropsVTypes"/>
</file>