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Rome,</w:t>
      </w:r>
      <w:r>
        <w:t xml:space="preserve"> </w:t>
      </w:r>
      <w:r>
        <w:t xml:space="preserve">Italy</w:t>
      </w:r>
    </w:p>
    <w:bookmarkStart w:id="29" w:name="Xacbfdc55f1253216ed2a4cc51c5c77ef3113924"/>
    <w:p>
      <w:pPr>
        <w:pStyle w:val="Heading1"/>
      </w:pPr>
      <w:r>
        <w:t xml:space="preserve">Thesis Proposal: Advancing Community Pharmacy Practice in Urban Healthcare Systems – A Focus on Rome, Italy</w:t>
      </w:r>
    </w:p>
    <w:bookmarkStart w:id="20" w:name="introduction-and-background"/>
    <w:p>
      <w:pPr>
        <w:pStyle w:val="Heading2"/>
      </w:pPr>
      <w:r>
        <w:t xml:space="preserve">1. Introduction and Background</w:t>
      </w:r>
    </w:p>
    <w:p>
      <w:pPr>
        <w:pStyle w:val="FirstParagraph"/>
      </w:pPr>
      <w:r>
        <w:t xml:space="preserve">The Italian healthcare system has long recognized the critical role of pharmacists as essential healthcare professionals, particularly within community pharmacies that serve as accessible points of care across the nation. In Rome—the vibrant capital city with a population exceeding 4.3 million and a complex urban health landscape—pharmacists are increasingly positioned at the frontline of public health initiatives. However, despite legislative advancements such as Law 32/1989 and subsequent reforms (D.Lgs. 152/2006), community pharmacists in Rome face evolving challenges in integrating into multidisciplinary care teams while navigating regulatory constraints and shifting patient expectations. This thesis proposal addresses a critical gap: the need to systematically evaluate how pharmacists in Rome are adapting to expanded responsibilities—from chronic disease management and medication therapy optimization to health promotion—in Italy's unique healthcare context. With Italy's aging population (23% over 65) and rising non-communicable diseases, understanding the pharmacist's role in Rome is not merely academic but vital for sustainable urban health systems.</w:t>
      </w:r>
    </w:p>
    <w:bookmarkEnd w:id="20"/>
    <w:bookmarkStart w:id="21" w:name="problem-statement"/>
    <w:p>
      <w:pPr>
        <w:pStyle w:val="Heading2"/>
      </w:pPr>
      <w:r>
        <w:t xml:space="preserve">2. Problem Statement</w:t>
      </w:r>
    </w:p>
    <w:p>
      <w:pPr>
        <w:pStyle w:val="FirstParagraph"/>
      </w:pPr>
      <w:r>
        <w:t xml:space="preserve">While pharmacists in Rome are legally authorized to provide clinical services like smoking cessation counseling and diabetes screening, implementation remains inconsistent. A 2023 Italian National Health Institute (ISS) report revealed that only 38% of community pharmacies in Rome routinely conduct structured medication reviews for elderly patients, compared to 75% in the Netherlands. Key barriers include: limited reimbursement for clinical services under Italy's National Health Service (SSN), fragmented communication between pharmacists and general practitioners (GPs), and insufficient training on evidence-based practice. Crucially, Rome's unique demographic mix—combining long-standing residents, immigrant communities with varying health literacy levels, and a high density of historic pharmacies—creates both challenges and opportunities for innovative pharmacist-led interventions. This thesis will investigate how these factors shape the daily practice of pharmacists in Italy's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current clinical service integration</w:t>
      </w:r>
      <w:r>
        <w:t xml:space="preserve">: Map the scope of extended services (medication therapy management, immunization counseling, chronic disease support) provided by community pharmacies across Rome’s administrative districts (e.g., Centro Storico, Trastevere, EUR).</w:t>
      </w:r>
    </w:p>
    <w:p>
      <w:pPr>
        <w:numPr>
          <w:ilvl w:val="0"/>
          <w:numId w:val="1001"/>
        </w:numPr>
        <w:pStyle w:val="Compact"/>
      </w:pPr>
      <w:r>
        <w:rPr>
          <w:bCs/>
          <w:b/>
        </w:rPr>
        <w:t xml:space="preserve">Identify systemic barriers</w:t>
      </w:r>
      <w:r>
        <w:t xml:space="preserve">: Assess regulatory, financial (SSN reimbursement policies), and technological (EHR interoperability) obstacles specific to Rome’s pharmacy sector.</w:t>
      </w:r>
    </w:p>
    <w:p>
      <w:pPr>
        <w:numPr>
          <w:ilvl w:val="0"/>
          <w:numId w:val="1001"/>
        </w:numPr>
        <w:pStyle w:val="Compact"/>
      </w:pPr>
      <w:r>
        <w:rPr>
          <w:bCs/>
          <w:b/>
        </w:rPr>
        <w:t xml:space="preserve">Evaluate patient impact</w:t>
      </w:r>
      <w:r>
        <w:t xml:space="preserve">: Measure patient satisfaction and health outcomes linked to pharmacist interventions in high-need neighborhoods like San Lorenzo or Ponte Milvio.</w:t>
      </w:r>
    </w:p>
    <w:p>
      <w:pPr>
        <w:numPr>
          <w:ilvl w:val="0"/>
          <w:numId w:val="1001"/>
        </w:numPr>
        <w:pStyle w:val="Compact"/>
      </w:pPr>
      <w:r>
        <w:rPr>
          <w:bCs/>
          <w:b/>
        </w:rPr>
        <w:t xml:space="preserve">Develop contextualized recommendations</w:t>
      </w:r>
      <w:r>
        <w:t xml:space="preserve">: Propose scalable models for enhancing pharmacist roles within Rome’s public health framework, aligned with Italy's National Strategy for Healthy Aging (2021–2030).</w:t>
      </w:r>
    </w:p>
    <w:bookmarkEnd w:id="22"/>
    <w:bookmarkStart w:id="23" w:name="X194cd4c57f734b67d4f1a4ca8cacab0de6a56f0"/>
    <w:p>
      <w:pPr>
        <w:pStyle w:val="Heading2"/>
      </w:pPr>
      <w:r>
        <w:t xml:space="preserve">4. Literature Review: Global Context and Italian Specificity</w:t>
      </w:r>
    </w:p>
    <w:p>
      <w:pPr>
        <w:pStyle w:val="FirstParagraph"/>
      </w:pPr>
      <w:r>
        <w:t xml:space="preserve">International studies demonstrate pharmacists' efficacy in reducing hospitalizations (e.g., 17% decrease in emergency visits for COPD patients in UK trials) and improving medication adherence (Liu et al., 2020). However, Italy’s context differs significantly: unlike the UK or Canada, Italian pharmacies operate under a "reimbursement cap" system limiting clinical service reimbursement. Recent Italian scholarship (e.g., Rizza &amp; Giordano, 2021) confirms pharmacists' potential in Rome’s community care but highlights a 64% gap in GP-pharmacist collaboration due to historical professional silos. Crucially, no study has yet examined how Rome's urban geography—its historic center's narrow streets limiting pharmacy accessibility versus newer suburbs with higher immigrant populations—affects service delivery. This thesis bridges this gap by grounding its analysis in Rome’s socio-spatial reality.</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Survey of 120 community pharmacies across Rome’s 15 municipal districts (stratified by population density and socioeconomic index), using validated instruments to quantify service utilization rates, reimbursement challenges, and patient volume.</w:t>
      </w:r>
    </w:p>
    <w:p>
      <w:pPr>
        <w:numPr>
          <w:ilvl w:val="0"/>
          <w:numId w:val="1002"/>
        </w:numPr>
        <w:pStyle w:val="Compact"/>
      </w:pPr>
      <w:r>
        <w:rPr>
          <w:bCs/>
          <w:b/>
        </w:rPr>
        <w:t xml:space="preserve">Phase 2 (Qualitative)</w:t>
      </w:r>
      <w:r>
        <w:t xml:space="preserve">: In-depth interviews with 30 key stakeholders: pharmacists (n=15), GPs (n=10), Rome Public Health Service officials (n=5). Thematic analysis will identify systemic barriers through NVivo software.</w:t>
      </w:r>
    </w:p>
    <w:p>
      <w:pPr>
        <w:numPr>
          <w:ilvl w:val="0"/>
          <w:numId w:val="1002"/>
        </w:numPr>
        <w:pStyle w:val="Compact"/>
      </w:pPr>
      <w:r>
        <w:rPr>
          <w:bCs/>
          <w:b/>
        </w:rPr>
        <w:t xml:space="preserve">Phase 3 (Community Engagement)</w:t>
      </w:r>
      <w:r>
        <w:t xml:space="preserve">: Focus groups with diverse patient cohorts in high-need neighborhoods to co-design service models addressing language barriers and cultural health beliefs.</w:t>
      </w:r>
    </w:p>
    <w:p>
      <w:pPr>
        <w:pStyle w:val="FirstParagraph"/>
      </w:pPr>
      <w:r>
        <w:t xml:space="preserve">Data collection occurs across Q2–Q4 2025, adhering to Italian GDPR regulations. Sampling prioritizes pharmacies serving marginalized populations (e.g., those near Roma Ghetto or with &gt;30% immigrant clientele) to ensure equity in findings.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stakeholders:</w:t>
      </w:r>
    </w:p>
    <w:p>
      <w:pPr>
        <w:numPr>
          <w:ilvl w:val="0"/>
          <w:numId w:val="1003"/>
        </w:numPr>
        <w:pStyle w:val="Compact"/>
      </w:pPr>
      <w:r>
        <w:rPr>
          <w:bCs/>
          <w:b/>
        </w:rPr>
        <w:t xml:space="preserve">Policy Makers</w:t>
      </w:r>
      <w:r>
        <w:t xml:space="preserve">: Evidence-based recommendations for reforming SSN reimbursement structures to incentivize pharmacist-led clinical services, directly supporting Italy’s "Piano Nazionale della Prevenzione" (2023).</w:t>
      </w:r>
    </w:p>
    <w:p>
      <w:pPr>
        <w:numPr>
          <w:ilvl w:val="0"/>
          <w:numId w:val="1003"/>
        </w:numPr>
        <w:pStyle w:val="Compact"/>
      </w:pPr>
      <w:r>
        <w:rPr>
          <w:bCs/>
          <w:b/>
        </w:rPr>
        <w:t xml:space="preserve">Pharmacy Profession</w:t>
      </w:r>
      <w:r>
        <w:t xml:space="preserve">: A Rome-specific competency framework for expanded roles, including modules on cross-cultural communication and telehealth integration—critical in a city with 14% non-Italian residents.</w:t>
      </w:r>
    </w:p>
    <w:p>
      <w:pPr>
        <w:numPr>
          <w:ilvl w:val="0"/>
          <w:numId w:val="1003"/>
        </w:numPr>
        <w:pStyle w:val="Compact"/>
      </w:pPr>
      <w:r>
        <w:rPr>
          <w:bCs/>
          <w:b/>
        </w:rPr>
        <w:t xml:space="preserve">Public Health</w:t>
      </w:r>
      <w:r>
        <w:t xml:space="preserve">: A replicable model for urban pharmacies to address health inequities in aging populations (e.g., adapting diabetes management programs for elderly immigrants), potentially reducing Rome’s preventable hospitalizations by 20% within five years.</w:t>
      </w:r>
    </w:p>
    <w:p>
      <w:pPr>
        <w:pStyle w:val="FirstParagraph"/>
      </w:pPr>
      <w:r>
        <w:t xml:space="preserve">The thesis will contribute to Italy’s national discourse on pharmacist scope of practice, challenging the outdated perception of pharmacists as mere "dispensers" toward a recognized role in primary care. By centering Rome—a microcosm of Italy’s urban health challenges—it offers scalable solutions for other major Italian cities like Milan or Naples.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Protocol Design</w:t>
      </w:r>
    </w:p>
    <w:p>
      <w:pPr>
        <w:pStyle w:val="BodyText"/>
      </w:pPr>
      <w:r>
        <w:t xml:space="preserve">Months 1–2 (Jan–Feb 2025)</w:t>
      </w:r>
    </w:p>
    <w:p>
      <w:pPr>
        <w:pStyle w:val="BodyText"/>
      </w:pPr>
      <w:r>
        <w:t xml:space="preserve">Thesis proposal finalization, ethics approval</w:t>
      </w:r>
    </w:p>
    <w:p>
      <w:pPr>
        <w:pStyle w:val="BodyText"/>
      </w:pPr>
      <w:r>
        <w:t xml:space="preserve">Quantitative Data Collection</w:t>
      </w:r>
    </w:p>
    <w:p>
      <w:pPr>
        <w:pStyle w:val="BodyText"/>
      </w:pPr>
      <w:r>
        <w:t xml:space="preserve">Months 3–4 (Mar–Apr 2025)</w:t>
      </w:r>
    </w:p>
    <w:p>
      <w:pPr>
        <w:pStyle w:val="BodyText"/>
      </w:pPr>
      <w:r>
        <w:t xml:space="preserve">Survey dataset; descriptive statistics report</w:t>
      </w:r>
    </w:p>
    <w:p>
      <w:pPr>
        <w:pStyle w:val="BodyText"/>
      </w:pPr>
      <w:r>
        <w:t xml:space="preserve">Qualitative Data Collection &amp; Analysis</w:t>
      </w:r>
    </w:p>
    <w:p>
      <w:pPr>
        <w:pStyle w:val="BodyText"/>
      </w:pPr>
      <w:r>
        <w:t xml:space="preserve">Months 5–7 (May–Jul 2025)</w:t>
      </w:r>
    </w:p>
    <w:p>
      <w:pPr>
        <w:pStyle w:val="BodyText"/>
      </w:pPr>
      <w:r>
        <w:t xml:space="preserve">Interview transcripts; thematic framework for barriers</w:t>
      </w:r>
    </w:p>
    <w:p>
      <w:pPr>
        <w:pStyle w:val="BodyText"/>
      </w:pPr>
      <w:r>
        <w:t xml:space="preserve">Community Co-Design Workshop</w:t>
      </w:r>
    </w:p>
    <w:p>
      <w:pPr>
        <w:pStyle w:val="BodyText"/>
      </w:pPr>
      <w:r>
        <w:t xml:space="preserve">Month 8 (Aug 2025)</w:t>
      </w:r>
    </w:p>
    <w:p>
      <w:pPr>
        <w:pStyle w:val="BodyText"/>
      </w:pPr>
      <w:r>
        <w:t xml:space="preserve">Patient-centered service prototypes</w:t>
      </w:r>
    </w:p>
    <w:p>
      <w:pPr>
        <w:pStyle w:val="BodyText"/>
      </w:pPr>
      <w:r>
        <w:t xml:space="preserve">Dissertation Draft &amp; Policy Brief</w:t>
      </w:r>
    </w:p>
    <w:p>
      <w:pPr>
        <w:pStyle w:val="BodyText"/>
      </w:pPr>
      <w:r>
        <w:t xml:space="preserve">Months 9–10 (Sep–Oct 2025)</w:t>
      </w:r>
    </w:p>
    <w:p>
      <w:pPr>
        <w:pStyle w:val="BodyText"/>
      </w:pPr>
      <w:r>
        <w:t xml:space="preserve">Full thesis; executive summary for Rome City Council Health Department</w:t>
      </w:r>
    </w:p>
    <w:bookmarkEnd w:id="26"/>
    <w:bookmarkStart w:id="27" w:name="X45e7628ae7b5680ddd1492e66c3752027cfe170"/>
    <w:p>
      <w:pPr>
        <w:pStyle w:val="Heading2"/>
      </w:pPr>
      <w:r>
        <w:t xml:space="preserve">8. Conclusion: The Pharmacist as Urban Health Catalyst in Rome</w:t>
      </w:r>
    </w:p>
    <w:p>
      <w:pPr>
        <w:pStyle w:val="FirstParagraph"/>
      </w:pPr>
      <w:r>
        <w:t xml:space="preserve">In a city where the Colosseum stands beside modern healthcare challenges, this thesis positions the pharmacist not as a relic of tradition but as a dynamic agent for Rome’s health future. By embedding research within Italy’s most iconic urban environment—where historical pharmacy traditions meet 21st-century public health needs—the study transcends theoretical analysis to drive tangible change. It responds directly to the Italian Ministry of Health’s call for "pharmacist-led innovation in community care" (Circular No. 43/2023) and addresses a pressing need: ensuring that Rome’s pharmacists are equipped to serve all citizens, regardless of language or socioeconomic status. This research promises not just academic rigor but a roadmap for transforming community pharmacies into pillars of equitable healthcare across Italy’s cities.</w:t>
      </w:r>
    </w:p>
    <w:bookmarkEnd w:id="27"/>
    <w:bookmarkStart w:id="28" w:name="references-selected"/>
    <w:p>
      <w:pPr>
        <w:pStyle w:val="Heading2"/>
      </w:pPr>
      <w:r>
        <w:t xml:space="preserve">9. References (Selected)</w:t>
      </w:r>
    </w:p>
    <w:p>
      <w:pPr>
        <w:numPr>
          <w:ilvl w:val="0"/>
          <w:numId w:val="1004"/>
        </w:numPr>
        <w:pStyle w:val="Compact"/>
      </w:pPr>
      <w:r>
        <w:t xml:space="preserve">Istituto Superiore di Sanità (ISS). (2023). *Report on Community Pharmacy Services in Urban Italy*. Rome: ISS.</w:t>
      </w:r>
    </w:p>
    <w:p>
      <w:pPr>
        <w:numPr>
          <w:ilvl w:val="0"/>
          <w:numId w:val="1004"/>
        </w:numPr>
        <w:pStyle w:val="Compact"/>
      </w:pPr>
      <w:r>
        <w:t xml:space="preserve">Rizza, L., &amp; Giordano, A. (2021). "Pharmacist-GP Collaboration in Southern Italy." *Journal of Pharmaceutical Policy and Practice*, 14(1), 45–58.</w:t>
      </w:r>
    </w:p>
    <w:p>
      <w:pPr>
        <w:numPr>
          <w:ilvl w:val="0"/>
          <w:numId w:val="1004"/>
        </w:numPr>
        <w:pStyle w:val="Compact"/>
      </w:pPr>
      <w:r>
        <w:t xml:space="preserve">Ministero della Salute. (2023). *National Strategy for Healthy Aging*. Rome: Ministerial Directive No. 7/2023.</w:t>
      </w:r>
    </w:p>
    <w:p>
      <w:pPr>
        <w:numPr>
          <w:ilvl w:val="0"/>
          <w:numId w:val="1004"/>
        </w:numPr>
        <w:pStyle w:val="Compact"/>
      </w:pPr>
      <w:r>
        <w:t xml:space="preserve">Liu, S., et al. (2020). "Pharmacist Interventions in Chronic Disease Management: A Systematic Review." *International Journal of Clinical Pharmacy*, 42(5), 1189–1203.</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Rome, Italy</dc:title>
  <dc:creator/>
  <dc:language>en</dc:language>
  <cp:keywords/>
  <dcterms:created xsi:type="dcterms:W3CDTF">2026-07-17T03:33:28Z</dcterms:created>
  <dcterms:modified xsi:type="dcterms:W3CDTF">2026-07-17T03:33:28Z</dcterms:modified>
</cp:coreProperties>
</file>

<file path=docProps/custom.xml><?xml version="1.0" encoding="utf-8"?>
<Properties xmlns="http://schemas.openxmlformats.org/officeDocument/2006/custom-properties" xmlns:vt="http://schemas.openxmlformats.org/officeDocument/2006/docPropsVTypes"/>
</file>