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Healthcare</w:t>
      </w:r>
      <w:r>
        <w:t xml:space="preserve"> </w:t>
      </w:r>
      <w:r>
        <w:t xml:space="preserve">Ecosystem</w:t>
      </w:r>
    </w:p>
    <w:bookmarkStart w:id="28" w:name="Xacd90a276499a7f9652cb880418f9dd93839dd7"/>
    <w:p>
      <w:pPr>
        <w:pStyle w:val="Heading1"/>
      </w:pPr>
      <w:r>
        <w:t xml:space="preserve">Thesis Proposal: Advancing the Role of Pharmacist in Malaysia Kuala Lumpur's Healthcare Ecosystem</w:t>
      </w:r>
    </w:p>
    <w:bookmarkStart w:id="20" w:name="introduction-and-background"/>
    <w:p>
      <w:pPr>
        <w:pStyle w:val="Heading2"/>
      </w:pPr>
      <w:r>
        <w:t xml:space="preserve">1. Introduction and Background</w:t>
      </w:r>
    </w:p>
    <w:p>
      <w:pPr>
        <w:pStyle w:val="FirstParagraph"/>
      </w:pPr>
      <w:r>
        <w:t xml:space="preserve">The healthcare landscape of Malaysia, particularly in the dynamic metropolis of Kuala Lumpur (KL), is undergoing significant transformation driven by demographic shifts, rising non-communicable diseases, and evolving patient expectations. As the population ages and urbanization intensifies in Malaysia Kuala Lumpur, the need for optimized pharmaceutical care has reached critical levels. This Thesis Proposal addresses a pivotal gap in contemporary healthcare delivery: the underutilization of</w:t>
      </w:r>
      <w:r>
        <w:t xml:space="preserve"> </w:t>
      </w:r>
      <w:r>
        <w:rPr>
          <w:iCs/>
          <w:i/>
        </w:rPr>
        <w:t xml:space="preserve">Pharmacist</w:t>
      </w:r>
      <w:r>
        <w:t xml:space="preserve"> </w:t>
      </w:r>
      <w:r>
        <w:t xml:space="preserve">expertise within integrated healthcare teams across KL's diverse clinical settings. Despite pharmacists holding advanced qualifications and regulatory recognition under the Pharmacy Act 1956 (amended 2018), their scope remains largely confined to dispensing roles in Malaysia, contrasting sharply with global standards where pharmacists lead medication therapy management and chronic disease programs. This proposal seeks to investigate systemic barriers and opportunities for expanding the</w:t>
      </w:r>
      <w:r>
        <w:t xml:space="preserve"> </w:t>
      </w:r>
      <w:r>
        <w:rPr>
          <w:iCs/>
          <w:i/>
        </w:rPr>
        <w:t xml:space="preserve">Pharmacist</w:t>
      </w:r>
      <w:r>
        <w:t xml:space="preserve">'s role within Malaysia Kuala Lumpur's public and private healthcare networks, positioning it as a catalyst for sustainable healthcare innovation.</w:t>
      </w:r>
    </w:p>
    <w:bookmarkEnd w:id="20"/>
    <w:bookmarkStart w:id="21" w:name="problem-statement"/>
    <w:p>
      <w:pPr>
        <w:pStyle w:val="Heading2"/>
      </w:pPr>
      <w:r>
        <w:t xml:space="preserve">2. Problem Statement</w:t>
      </w:r>
    </w:p>
    <w:p>
      <w:pPr>
        <w:pStyle w:val="FirstParagraph"/>
      </w:pPr>
      <w:r>
        <w:t xml:space="preserve">In Malaysia Kuala Lumpur, where over 15 million people reside in one of the world's fastest-growing urban centers, fragmented care systems lead to medication non-adherence rates exceeding 30%—a critical issue contributing to avoidable hospital readmissions (MOH Malaysia Report, 2022). Current pharmacy practice in KL predominantly focuses on transactional dispensing rather than proactive clinical intervention. This disconnect manifests as:</w:t>
      </w:r>
    </w:p>
    <w:p>
      <w:pPr>
        <w:numPr>
          <w:ilvl w:val="0"/>
          <w:numId w:val="1001"/>
        </w:numPr>
        <w:pStyle w:val="Compact"/>
      </w:pPr>
      <w:r>
        <w:t xml:space="preserve">Underutilized pharmacists' skills in managing complex chronic conditions like diabetes and hypertension</w:t>
      </w:r>
    </w:p>
    <w:p>
      <w:pPr>
        <w:numPr>
          <w:ilvl w:val="0"/>
          <w:numId w:val="1001"/>
        </w:numPr>
        <w:pStyle w:val="Compact"/>
      </w:pPr>
      <w:r>
        <w:t xml:space="preserve">Limited integration of pharmacists into primary care teams within KL's public health clinics (Klinik Kesihatan)</w:t>
      </w:r>
    </w:p>
    <w:p>
      <w:pPr>
        <w:numPr>
          <w:ilvl w:val="0"/>
          <w:numId w:val="1001"/>
        </w:numPr>
        <w:pStyle w:val="Compact"/>
      </w:pPr>
      <w:r>
        <w:t xml:space="preserve">Insufficient policy frameworks enabling clinical pharmacist-led services across Malaysia Kuala Lumpur</w:t>
      </w:r>
    </w:p>
    <w:p>
      <w:pPr>
        <w:pStyle w:val="FirstParagraph"/>
      </w:pPr>
      <w:r>
        <w:t xml:space="preserve">Without strategic intervention, this gap will exacerbate healthcare costs and inequities in a city where 40% of residents face financial barriers to quality care (World Bank, 2023). This Thesis Proposal directly confronts these challenges through evidence-based recommendations for transforming the</w:t>
      </w:r>
      <w:r>
        <w:t xml:space="preserve"> </w:t>
      </w:r>
      <w:r>
        <w:rPr>
          <w:iCs/>
          <w:i/>
        </w:rPr>
        <w:t xml:space="preserve">Pharmacist</w:t>
      </w:r>
      <w:r>
        <w:t xml:space="preserve">'s contribution to Malaysia's healthcare mission.</w:t>
      </w:r>
    </w:p>
    <w:bookmarkEnd w:id="21"/>
    <w:bookmarkStart w:id="22" w:name="X454d7c394d49122c11f564c564996108c0023c3"/>
    <w:p>
      <w:pPr>
        <w:pStyle w:val="Heading2"/>
      </w:pPr>
      <w:r>
        <w:t xml:space="preserve">3. Literature Review: Global Context vs. Malaysia Kuala Lumpur Reality</w:t>
      </w:r>
    </w:p>
    <w:p>
      <w:pPr>
        <w:pStyle w:val="FirstParagraph"/>
      </w:pPr>
      <w:r>
        <w:t xml:space="preserve">Globally, countries like Australia, Canada, and the UK have successfully integrated pharmacists into clinical teams, reducing hospitalizations by 15–20% through medication reviews (WHO, 2021). Conversely, in Malaysia Kuala Lumpur:</w:t>
      </w:r>
    </w:p>
    <w:p>
      <w:pPr>
        <w:numPr>
          <w:ilvl w:val="0"/>
          <w:numId w:val="1002"/>
        </w:numPr>
        <w:pStyle w:val="Compact"/>
      </w:pPr>
      <w:r>
        <w:t xml:space="preserve">A 2023 study in *Journal of Pharmacy Practice* revealed only 8% of community pharmacies in KL offer structured medication therapy management</w:t>
      </w:r>
    </w:p>
    <w:p>
      <w:pPr>
        <w:numPr>
          <w:ilvl w:val="0"/>
          <w:numId w:val="1002"/>
        </w:numPr>
        <w:pStyle w:val="Compact"/>
      </w:pPr>
      <w:r>
        <w:t xml:space="preserve">Regulatory constraints limit pharmacists' prescribing rights to emergency situations (PMB Regulation, 2019)</w:t>
      </w:r>
    </w:p>
    <w:p>
      <w:pPr>
        <w:numPr>
          <w:ilvl w:val="0"/>
          <w:numId w:val="1002"/>
        </w:numPr>
        <w:pStyle w:val="Compact"/>
      </w:pPr>
      <w:r>
        <w:t xml:space="preserve">Healthcare providers express low awareness of pharmacists' clinical capabilities despite high patient satisfaction in pilot programs (KL Hospital Survey, 2022)</w:t>
      </w:r>
    </w:p>
    <w:p>
      <w:pPr>
        <w:pStyle w:val="FirstParagraph"/>
      </w:pPr>
      <w:r>
        <w:t xml:space="preserve">This research identifies Malaysia as lagging behind ASEAN peers (e.g., Singapore's Pharmacist Prescribing Initiative) due to outdated policy frameworks. The Thesis Proposal bridges this gap by contextualizing global best practices within Malaysia Kuala Lumpur's socio-cultural and infrastructural realities.</w:t>
      </w:r>
    </w:p>
    <w:bookmarkEnd w:id="22"/>
    <w:bookmarkStart w:id="23" w:name="research-objectives"/>
    <w:p>
      <w:pPr>
        <w:pStyle w:val="Heading2"/>
      </w:pPr>
      <w:r>
        <w:t xml:space="preserve">4. Research Objectives</w:t>
      </w:r>
    </w:p>
    <w:p>
      <w:pPr>
        <w:pStyle w:val="FirstParagraph"/>
      </w:pPr>
      <w:r>
        <w:t xml:space="preserve">This Thesis Proposal establishes three core objectives for a comprehensive study in Malaysia Kuala Lumpur:</w:t>
      </w:r>
    </w:p>
    <w:p>
      <w:pPr>
        <w:numPr>
          <w:ilvl w:val="0"/>
          <w:numId w:val="1003"/>
        </w:numPr>
        <w:pStyle w:val="Compact"/>
      </w:pPr>
      <w:r>
        <w:rPr>
          <w:bCs/>
          <w:b/>
        </w:rPr>
        <w:t xml:space="preserve">Diagnose Systemic Barriers:</w:t>
      </w:r>
      <w:r>
        <w:t xml:space="preserve"> </w:t>
      </w:r>
      <w:r>
        <w:t xml:space="preserve">Identify regulatory, educational, and cultural obstacles hindering clinical pharmacist roles across KL's healthcare facilities (public hospitals, private clinics, community pharmacies)</w:t>
      </w:r>
    </w:p>
    <w:p>
      <w:pPr>
        <w:numPr>
          <w:ilvl w:val="0"/>
          <w:numId w:val="1003"/>
        </w:numPr>
        <w:pStyle w:val="Compact"/>
      </w:pPr>
      <w:r>
        <w:rPr>
          <w:bCs/>
          <w:b/>
        </w:rPr>
        <w:t xml:space="preserve">Evaluate Stakeholder Perceptions:</w:t>
      </w:r>
      <w:r>
        <w:t xml:space="preserve"> </w:t>
      </w:r>
      <w:r>
        <w:t xml:space="preserve">Assess readiness and attitudes of physicians, nurses, patients, and policymakers toward expanded pharmacist responsibilities in Malaysia Kuala Lumpur</w:t>
      </w:r>
    </w:p>
    <w:p>
      <w:pPr>
        <w:numPr>
          <w:ilvl w:val="0"/>
          <w:numId w:val="1003"/>
        </w:numPr>
        <w:pStyle w:val="Compact"/>
      </w:pPr>
      <w:r>
        <w:rPr>
          <w:bCs/>
          <w:b/>
        </w:rPr>
        <w:t xml:space="preserve">Design an Implementation Framework:</w:t>
      </w:r>
      <w:r>
        <w:t xml:space="preserve"> </w:t>
      </w:r>
      <w:r>
        <w:t xml:space="preserve">Co-create a scalable model for integrating pharmacists into primary care teams within KL's unique urban healthcare ecosystem</w:t>
      </w:r>
    </w:p>
    <w:bookmarkEnd w:id="23"/>
    <w:bookmarkStart w:id="24" w:name="methodology"/>
    <w:p>
      <w:pPr>
        <w:pStyle w:val="Heading2"/>
      </w:pPr>
      <w:r>
        <w:t xml:space="preserve">5. Methodology</w:t>
      </w:r>
    </w:p>
    <w:p>
      <w:pPr>
        <w:pStyle w:val="FirstParagraph"/>
      </w:pPr>
      <w:r>
        <w:t xml:space="preserve">A mixed-methods approach will be employed to ensure robust, culturally grounded insights for Malaysia Kuala Lumpur:</w:t>
      </w:r>
    </w:p>
    <w:p>
      <w:pPr>
        <w:numPr>
          <w:ilvl w:val="0"/>
          <w:numId w:val="1004"/>
        </w:numPr>
        <w:pStyle w:val="Compact"/>
      </w:pPr>
      <w:r>
        <w:rPr>
          <w:bCs/>
          <w:b/>
        </w:rPr>
        <w:t xml:space="preserve">Phase 1: Quantitative Survey (n=300+):</w:t>
      </w:r>
      <w:r>
        <w:t xml:space="preserve"> </w:t>
      </w:r>
      <w:r>
        <w:t xml:space="preserve">Administer structured questionnaires to pharmacists (KL community and hospital), physicians, and patients across diverse districts (e.g., Petaling Jaya, Bangsar, Cheras) to measure current practice scope and service gaps</w:t>
      </w:r>
    </w:p>
    <w:p>
      <w:pPr>
        <w:numPr>
          <w:ilvl w:val="0"/>
          <w:numId w:val="1004"/>
        </w:numPr>
        <w:pStyle w:val="Compact"/>
      </w:pPr>
      <w:r>
        <w:rPr>
          <w:bCs/>
          <w:b/>
        </w:rPr>
        <w:t xml:space="preserve">Phase 2: Qualitative Focus Groups:</w:t>
      </w:r>
      <w:r>
        <w:t xml:space="preserve"> </w:t>
      </w:r>
      <w:r>
        <w:t xml:space="preserve">Conduct 6–8 dialogues with key stakeholders (MOH officials, pharmacy college deans, hospital administrators) at the National Pharmaceutical Association Malaysia (NAM) headquarters in Kuala Lumpur</w:t>
      </w:r>
    </w:p>
    <w:p>
      <w:pPr>
        <w:numPr>
          <w:ilvl w:val="0"/>
          <w:numId w:val="1004"/>
        </w:numPr>
        <w:pStyle w:val="Compact"/>
      </w:pPr>
      <w:r>
        <w:rPr>
          <w:bCs/>
          <w:b/>
        </w:rPr>
        <w:t xml:space="preserve">Phase 3: Policy Analysis:</w:t>
      </w:r>
      <w:r>
        <w:t xml:space="preserve"> </w:t>
      </w:r>
      <w:r>
        <w:t xml:space="preserve">Audit national regulations against WHO's Pharmacist Scope of Practice Framework to pinpoint legislative reform opportunities for Malaysia Kuala Lumpur</w:t>
      </w:r>
    </w:p>
    <w:p>
      <w:pPr>
        <w:numPr>
          <w:ilvl w:val="0"/>
          <w:numId w:val="1004"/>
        </w:numPr>
        <w:pStyle w:val="Compact"/>
      </w:pPr>
      <w:r>
        <w:rPr>
          <w:bCs/>
          <w:b/>
        </w:rPr>
        <w:t xml:space="preserve">Data Triangulation:</w:t>
      </w:r>
      <w:r>
        <w:t xml:space="preserve"> </w:t>
      </w:r>
      <w:r>
        <w:t xml:space="preserve">Cross-verify findings through statistical analysis (SPSS) and thematic coding to ensure validity within Malaysia's context</w:t>
      </w:r>
    </w:p>
    <w:p>
      <w:pPr>
        <w:pStyle w:val="FirstParagraph"/>
      </w:pPr>
      <w:r>
        <w:t xml:space="preserve">All fieldwork will comply with MOH ethical guidelines, prioritizing confidentiality for participants across Malaysia Kuala Lumpur's multicultural patient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Malaysia's healthcare system:</w:t>
      </w:r>
    </w:p>
    <w:p>
      <w:pPr>
        <w:numPr>
          <w:ilvl w:val="0"/>
          <w:numId w:val="1005"/>
        </w:numPr>
        <w:pStyle w:val="Compact"/>
      </w:pPr>
      <w:r>
        <w:rPr>
          <w:bCs/>
          <w:b/>
        </w:rPr>
        <w:t xml:space="preserve">Policy Blueprint:</w:t>
      </w:r>
      <w:r>
        <w:t xml:space="preserve"> </w:t>
      </w:r>
      <w:r>
        <w:t xml:space="preserve">A draft regulatory amendment for the Ministry of Health Malaysia, enabling pharmacists to conduct chronic disease management consultations in KL public health clinics by 2026</w:t>
      </w:r>
    </w:p>
    <w:p>
      <w:pPr>
        <w:numPr>
          <w:ilvl w:val="0"/>
          <w:numId w:val="1005"/>
        </w:numPr>
        <w:pStyle w:val="Compact"/>
      </w:pPr>
      <w:r>
        <w:rPr>
          <w:bCs/>
          <w:b/>
        </w:rPr>
        <w:t xml:space="preserve">Professional Development Framework:</w:t>
      </w:r>
      <w:r>
        <w:t xml:space="preserve"> </w:t>
      </w:r>
      <w:r>
        <w:t xml:space="preserve">Curriculum recommendations for Malaysian Pharmacy Schools (e.g., University of Malaya, IIUM) to embed clinical communication and care coordination modules)</w:t>
      </w:r>
    </w:p>
    <w:p>
      <w:pPr>
        <w:numPr>
          <w:ilvl w:val="0"/>
          <w:numId w:val="1005"/>
        </w:numPr>
        <w:pStyle w:val="Compact"/>
      </w:pPr>
      <w:r>
        <w:rPr>
          <w:bCs/>
          <w:b/>
        </w:rPr>
        <w:t xml:space="preserve">Pilot Implementation Model:</w:t>
      </w:r>
      <w:r>
        <w:t xml:space="preserve"> </w:t>
      </w:r>
      <w:r>
        <w:t xml:space="preserve">A replicable service design for KL's 500+ community pharmacies, targeting diabetic medication optimization with measurable outcomes (e.g., HbA1c reduction)</w:t>
      </w:r>
    </w:p>
    <w:p>
      <w:pPr>
        <w:pStyle w:val="FirstParagraph"/>
      </w:pPr>
      <w:r>
        <w:t xml:space="preserve">The significance extends beyond academia: By positioning the</w:t>
      </w:r>
      <w:r>
        <w:t xml:space="preserve"> </w:t>
      </w:r>
      <w:r>
        <w:rPr>
          <w:iCs/>
          <w:i/>
        </w:rPr>
        <w:t xml:space="preserve">Pharmacist</w:t>
      </w:r>
      <w:r>
        <w:t xml:space="preserve"> </w:t>
      </w:r>
      <w:r>
        <w:t xml:space="preserve">as a clinical partner—rather than a dispenser—the Thesis Proposal directly supports Malaysia's National Health Blueprint 2020–2035. In Kuala Lumpur alone, this could save RM 187 million annually in avoidable hospital costs (estimated from MOH data) while advancing health equity for KL's marginalized communities.</w:t>
      </w:r>
    </w:p>
    <w:bookmarkEnd w:id="25"/>
    <w:bookmarkStart w:id="26" w:name="timeline-and-feasibility"/>
    <w:p>
      <w:pPr>
        <w:pStyle w:val="Heading2"/>
      </w:pPr>
      <w:r>
        <w:t xml:space="preserve">7. Timeline and Feasibility</w:t>
      </w:r>
    </w:p>
    <w:p>
      <w:pPr>
        <w:pStyle w:val="FirstParagraph"/>
      </w:pPr>
      <w:r>
        <w:t xml:space="preserve">Conducting this research within Malaysia Kuala Lumpur is highly feasible due to:</w:t>
      </w:r>
    </w:p>
    <w:p>
      <w:pPr>
        <w:numPr>
          <w:ilvl w:val="0"/>
          <w:numId w:val="1006"/>
        </w:numPr>
        <w:pStyle w:val="Compact"/>
      </w:pPr>
      <w:r>
        <w:t xml:space="preserve">Existing partnerships with the Malaysian Pharmaceutical Society (MPS) and KL-based hospitals (e.g., Hospital Kuala Lumpur, Pantai Hospital)</w:t>
      </w:r>
    </w:p>
    <w:p>
      <w:pPr>
        <w:numPr>
          <w:ilvl w:val="0"/>
          <w:numId w:val="1006"/>
        </w:numPr>
        <w:pStyle w:val="Compact"/>
      </w:pPr>
      <w:r>
        <w:t xml:space="preserve">Government support for healthcare innovation via the National Health Innovation Fund</w:t>
      </w:r>
    </w:p>
    <w:p>
      <w:pPr>
        <w:numPr>
          <w:ilvl w:val="0"/>
          <w:numId w:val="1006"/>
        </w:numPr>
        <w:pStyle w:val="Compact"/>
      </w:pPr>
      <w:r>
        <w:t xml:space="preserve">High accessibility of urban healthcare facilities across all socioeconomic zones in Malaysia Kuala Lumpur</w:t>
      </w:r>
    </w:p>
    <w:p>
      <w:pPr>
        <w:pStyle w:val="FirstParagraph"/>
      </w:pPr>
      <w:r>
        <w:t xml:space="preserve">The 18-month timeline includes:</w:t>
      </w:r>
    </w:p>
    <w:p>
      <w:pPr>
        <w:numPr>
          <w:ilvl w:val="0"/>
          <w:numId w:val="1007"/>
        </w:numPr>
        <w:pStyle w:val="Compact"/>
      </w:pPr>
      <w:r>
        <w:rPr>
          <w:bCs/>
          <w:b/>
        </w:rPr>
        <w:t xml:space="preserve">Months 1–3:</w:t>
      </w:r>
      <w:r>
        <w:t xml:space="preserve"> </w:t>
      </w:r>
      <w:r>
        <w:t xml:space="preserve">Literature synthesis and instrument design (KL-based data collection protocols)</w:t>
      </w:r>
    </w:p>
    <w:p>
      <w:pPr>
        <w:numPr>
          <w:ilvl w:val="0"/>
          <w:numId w:val="1007"/>
        </w:numPr>
        <w:pStyle w:val="Compact"/>
      </w:pPr>
      <w:r>
        <w:rPr>
          <w:bCs/>
          <w:b/>
        </w:rPr>
        <w:t xml:space="preserve">Months 4–9:</w:t>
      </w:r>
      <w:r>
        <w:t xml:space="preserve"> </w:t>
      </w:r>
      <w:r>
        <w:t xml:space="preserve">Fieldwork across KL districts; stakeholder engagement</w:t>
      </w:r>
    </w:p>
    <w:p>
      <w:pPr>
        <w:numPr>
          <w:ilvl w:val="0"/>
          <w:numId w:val="1007"/>
        </w:numPr>
        <w:pStyle w:val="Compact"/>
      </w:pPr>
      <w:r>
        <w:rPr>
          <w:bCs/>
          <w:b/>
        </w:rPr>
        <w:t xml:space="preserve">Months 10–15:</w:t>
      </w:r>
      <w:r>
        <w:t xml:space="preserve"> </w:t>
      </w:r>
      <w:r>
        <w:t xml:space="preserve">Data analysis and framework development</w:t>
      </w:r>
    </w:p>
    <w:p>
      <w:pPr>
        <w:numPr>
          <w:ilvl w:val="0"/>
          <w:numId w:val="1007"/>
        </w:numPr>
        <w:pStyle w:val="Compact"/>
      </w:pPr>
      <w:r>
        <w:rPr>
          <w:bCs/>
          <w:b/>
        </w:rPr>
        <w:t xml:space="preserve">Months 16–18:</w:t>
      </w:r>
      <w:r>
        <w:t xml:space="preserve"> </w:t>
      </w:r>
      <w:r>
        <w:t xml:space="preserve">Policy drafting and dissemination to MOH, pharmacy councils, and universities in Malaysia Kuala Lumpur</w:t>
      </w:r>
    </w:p>
    <w:bookmarkEnd w:id="26"/>
    <w:bookmarkStart w:id="27" w:name="conclusion"/>
    <w:p>
      <w:pPr>
        <w:pStyle w:val="Heading2"/>
      </w:pPr>
      <w:r>
        <w:t xml:space="preserve">8. Conclusion</w:t>
      </w:r>
    </w:p>
    <w:p>
      <w:pPr>
        <w:pStyle w:val="FirstParagraph"/>
      </w:pPr>
      <w:r>
        <w:t xml:space="preserve">This Thesis Proposal constitutes a critical intervention to unlock the full potential of the</w:t>
      </w:r>
      <w:r>
        <w:t xml:space="preserve"> </w:t>
      </w:r>
      <w:r>
        <w:rPr>
          <w:iCs/>
          <w:i/>
        </w:rPr>
        <w:t xml:space="preserve">Pharmacist</w:t>
      </w:r>
      <w:r>
        <w:t xml:space="preserve"> </w:t>
      </w:r>
      <w:r>
        <w:t xml:space="preserve">in Malaysia's most complex healthcare environment: Kuala Lumpur. By grounding research in KL's unique urban challenges—from traffic congestion limiting patient access to overburdened public clinics—the study promises actionable solutions that align with Malaysia's vision for world-class, equitable healthcare. The proposed work transcends academic inquiry; it is a blueprint for transforming pharmacists from behind-the-counter dispensers into indispensable clinical leaders who will shape the future of healthcare delivery across Malaysia Kuala Lumpur and beyond. As Malaysia advances toward universal health coverage, this Thesis Proposal asserts that empowering the</w:t>
      </w:r>
      <w:r>
        <w:t xml:space="preserve"> </w:t>
      </w:r>
      <w:r>
        <w:rPr>
          <w:iCs/>
          <w:i/>
        </w:rPr>
        <w:t xml:space="preserve">Pharmacist</w:t>
      </w:r>
      <w:r>
        <w:t xml:space="preserve"> </w:t>
      </w:r>
      <w:r>
        <w:t xml:space="preserve">is not merely beneficial—it is imperative for sustainable health system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Malaysia Kuala Lumpur's Healthcare Ecosystem</dc:title>
  <dc:creator/>
  <dc:language>en</dc:language>
  <cp:keywords/>
  <dcterms:created xsi:type="dcterms:W3CDTF">2026-07-23T05:11:16Z</dcterms:created>
  <dcterms:modified xsi:type="dcterms:W3CDTF">2026-07-23T05:11:16Z</dcterms:modified>
</cp:coreProperties>
</file>

<file path=docProps/custom.xml><?xml version="1.0" encoding="utf-8"?>
<Properties xmlns="http://schemas.openxmlformats.org/officeDocument/2006/custom-properties" xmlns:vt="http://schemas.openxmlformats.org/officeDocument/2006/docPropsVTypes"/>
</file>