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p>
    <w:bookmarkStart w:id="29" w:name="X4ba8c90b271078c2d5bc5ba1f5dc420afac2dcf"/>
    <w:p>
      <w:pPr>
        <w:pStyle w:val="Heading1"/>
      </w:pPr>
      <w:r>
        <w:t xml:space="preserve">Thesis Proposal: The Evolving Role of the Pharmacist in Healthcare Systems of Netherlands Amsterdam</w:t>
      </w:r>
    </w:p>
    <w:bookmarkStart w:id="20" w:name="introduction"/>
    <w:p>
      <w:pPr>
        <w:pStyle w:val="Heading2"/>
      </w:pPr>
      <w:r>
        <w:t xml:space="preserve">Introduction</w:t>
      </w:r>
    </w:p>
    <w:p>
      <w:pPr>
        <w:pStyle w:val="FirstParagraph"/>
      </w:pPr>
      <w:r>
        <w:t xml:space="preserve">The pharmaceutical landscape in the Netherlands has undergone significant transformation, positioning the pharmacist as a pivotal figure in primary healthcare. This Thesis Proposal examines the expanding responsibilities of the Pharmacist within Amsterdam's unique urban healthcare ecosystem, where demographic diversity, complex medication needs, and innovative policy frameworks converge. As one of Europe's most progressive healthcare systems, the Netherlands Amsterdam offers an ideal context to investigate how pharmacists transition from traditional dispensing roles to proactive health advisors. This research addresses critical gaps in understanding how pharmacist-led initiatives can optimize patient outcomes while navigating the Netherlands' distinct regulatory environment and Amsterdam's multicultural urban challenges.</w:t>
      </w:r>
    </w:p>
    <w:bookmarkEnd w:id="20"/>
    <w:bookmarkStart w:id="21" w:name="problem-statement"/>
    <w:p>
      <w:pPr>
        <w:pStyle w:val="Heading2"/>
      </w:pPr>
      <w:r>
        <w:t xml:space="preserve">Problem Statement</w:t>
      </w:r>
    </w:p>
    <w:p>
      <w:pPr>
        <w:pStyle w:val="FirstParagraph"/>
      </w:pPr>
      <w:r>
        <w:t xml:space="preserve">Despite the Netherlands' world-leading healthcare infrastructure, Amsterdam faces pressing challenges: an aging population (23% over 65), high prevalence of polypharmacy (41% of elderly patients use ≥5 medications), and disparities in medication adherence among immigrant communities. Current pharmacy practice remains largely reactive, with pharmacists primarily confined to dispensing roles rather than leveraging their clinical expertise for preventative care. The Dutch Pharmacy Act (2013) mandates expanded roles through initiatives like Medication Therapy Management (MTM), yet implementation varies significantly across Amsterdam's 120+ community pharmacies. This Thesis Proposal identifies a critical research gap: how can the Pharmacist in Netherlands Amsterdam effectively transition to a proactive health partner within existing policy frameworks while addressing urban-specific barriers such as language diversity and socioeconomic inequalities?</w:t>
      </w:r>
    </w:p>
    <w:bookmarkEnd w:id="21"/>
    <w:bookmarkStart w:id="22" w:name="research-objectives"/>
    <w:p>
      <w:pPr>
        <w:pStyle w:val="Heading2"/>
      </w:pPr>
      <w:r>
        <w:t xml:space="preserve">Research Objectives</w:t>
      </w:r>
    </w:p>
    <w:p>
      <w:pPr>
        <w:numPr>
          <w:ilvl w:val="0"/>
          <w:numId w:val="1001"/>
        </w:numPr>
        <w:pStyle w:val="Compact"/>
      </w:pPr>
      <w:r>
        <w:t xml:space="preserve">To analyze the scope of current pharmacist responsibilities across Amsterdam community pharmacies through quantitative surveys and qualitative interviews with 50+ pharmacists.</w:t>
      </w:r>
    </w:p>
    <w:p>
      <w:pPr>
        <w:numPr>
          <w:ilvl w:val="0"/>
          <w:numId w:val="1001"/>
        </w:numPr>
        <w:pStyle w:val="Compact"/>
      </w:pPr>
      <w:r>
        <w:t xml:space="preserve">To evaluate patient perception of pharmacist-led services (e.g., medication reviews, chronic disease management) among 300 diverse Amsterdam residents in high-need neighborhoods (e.g., Oost, Zeeburg).</w:t>
      </w:r>
    </w:p>
    <w:p>
      <w:pPr>
        <w:numPr>
          <w:ilvl w:val="0"/>
          <w:numId w:val="1001"/>
        </w:numPr>
        <w:pStyle w:val="Compact"/>
      </w:pPr>
      <w:r>
        <w:t xml:space="preserve">To develop a culturally adaptable framework for Pharmacist-led integrated care models tailored to Amsterdam's demographic profile, incorporating lessons from successful Dutch initiatives like the "Pharmacist as First Contact" pilot in Utrecht.</w:t>
      </w:r>
    </w:p>
    <w:p>
      <w:pPr>
        <w:numPr>
          <w:ilvl w:val="0"/>
          <w:numId w:val="1001"/>
        </w:numPr>
        <w:pStyle w:val="Compact"/>
      </w:pPr>
      <w:r>
        <w:t xml:space="preserve">To propose evidence-based policy recommendations for optimizing pharmacist roles within the Netherlands' Health Insurance Act (Zorgverzekeringswet) and Amsterdam municipal health strategies.</w:t>
      </w:r>
    </w:p>
    <w:bookmarkEnd w:id="22"/>
    <w:bookmarkStart w:id="23" w:name="literature-review"/>
    <w:p>
      <w:pPr>
        <w:pStyle w:val="Heading2"/>
      </w:pPr>
      <w:r>
        <w:t xml:space="preserve">Literature Review</w:t>
      </w:r>
    </w:p>
    <w:p>
      <w:pPr>
        <w:pStyle w:val="FirstParagraph"/>
      </w:pPr>
      <w:r>
        <w:t xml:space="preserve">Existing research highlights the Netherlands' pioneering role in pharmacist expansion. Studies by de Graaf et al. (2021) confirm Dutch pharmacists' clinical authority in vaccination programs, yet Amsterdam-specific data remains scarce. The "Amsterdam Health Monitoring Survey" (2023) reveals only 34% of patients access pharmacist consultations for chronic conditions like hypertension, citing poor awareness as the primary barrier. Critically, cultural competency gaps emerge when addressing Amsterdam's immigrant populations (40% of residents born abroad), with Koster et al. (2022) noting that 68% of Arabic-speaking patients prefer pharmacist communication in their native language for medication safety. This Thesis Proposal extends these findings by examining how systemic barriers—such as reimbursement limitations for non-dispensing services under the Dutch Healthcare Insurance Act—hinder pharmacist-led care in Amsterdam's complex urban setting.</w:t>
      </w:r>
    </w:p>
    <w:bookmarkEnd w:id="23"/>
    <w:bookmarkStart w:id="24" w:name="methodology"/>
    <w:p>
      <w:pPr>
        <w:pStyle w:val="Heading2"/>
      </w:pPr>
      <w:r>
        <w:t xml:space="preserve">Methodology</w:t>
      </w:r>
    </w:p>
    <w:p>
      <w:pPr>
        <w:pStyle w:val="FirstParagraph"/>
      </w:pPr>
      <w:r>
        <w:t xml:space="preserve">This mixed-methods study employs a sequential design over 14 months. Phase 1 (Months 1-5) involves stratified sampling of Amsterdam pharmacies across socioeconomic zones, deploying validated surveys to assess current service utilization and barriers. Phase 2 (Months 6-9) conducts focus groups with patients from diverse ethnic backgrounds (Turkish, Moroccan, Surinamese communities) using interpreter services to explore care preferences. Phase 3 (Months 10-14) synthesizes data through thematic analysis and develops a pilot framework for pharmacist-led chronic disease management, tested in collaboration with Amsterdam's municipal health authority (Gemeente Amsterdam). Ethical approval will be sought from the University of Amsterdam Medical Ethics Committee, prioritizing patient confidentiality per Dutch GDPR standards. Quantitative data analysis will use SPSS v28, while qualitative insights undergo NVivo coding for emergent themes.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 to the Netherlands Amsterdam healthcare landscape:</w:t>
      </w:r>
    </w:p>
    <w:p>
      <w:pPr>
        <w:numPr>
          <w:ilvl w:val="0"/>
          <w:numId w:val="1002"/>
        </w:numPr>
        <w:pStyle w:val="Compact"/>
      </w:pPr>
      <w:r>
        <w:rPr>
          <w:bCs/>
          <w:b/>
        </w:rPr>
        <w:t xml:space="preserve">Policy Impact:</w:t>
      </w:r>
      <w:r>
        <w:t xml:space="preserve"> </w:t>
      </w:r>
      <w:r>
        <w:t xml:space="preserve">A validated model for integrating Pharmacist services into Amsterdam's "Healthy City" agenda, directly addressing the municipality's 2030 goal of reducing avoidable hospitalizations by 15% through community-based care.</w:t>
      </w:r>
    </w:p>
    <w:p>
      <w:pPr>
        <w:numPr>
          <w:ilvl w:val="0"/>
          <w:numId w:val="1002"/>
        </w:numPr>
        <w:pStyle w:val="Compact"/>
      </w:pPr>
      <w:r>
        <w:rPr>
          <w:bCs/>
          <w:b/>
        </w:rPr>
        <w:t xml:space="preserve">Professional Development:</w:t>
      </w:r>
      <w:r>
        <w:t xml:space="preserve"> </w:t>
      </w:r>
      <w:r>
        <w:t xml:space="preserve">Evidence supporting expanded clinical roles for Dutch Pharmacists in medication safety coordination, potentially influencing future revisions to the Dutch Pharmacy Act.</w:t>
      </w:r>
    </w:p>
    <w:p>
      <w:pPr>
        <w:numPr>
          <w:ilvl w:val="0"/>
          <w:numId w:val="1002"/>
        </w:numPr>
        <w:pStyle w:val="Compact"/>
      </w:pPr>
      <w:r>
        <w:rPr>
          <w:bCs/>
          <w:b/>
        </w:rPr>
        <w:t xml:space="preserve">Social Equity:</w:t>
      </w:r>
      <w:r>
        <w:t xml:space="preserve"> </w:t>
      </w:r>
      <w:r>
        <w:t xml:space="preserve">A culturally sensitive service framework improving medication adherence among Amsterdam's underserved immigrant populations—addressing a critical gap identified in the Netherlands' National Health Report (2022).</w:t>
      </w:r>
    </w:p>
    <w:p>
      <w:pPr>
        <w:pStyle w:val="FirstParagraph"/>
      </w:pPr>
      <w:r>
        <w:t xml:space="preserve">The Thesis Proposal's significance extends beyond Amsterdam: as Europe's most diverse capital city, its solutions could inform pharmacist role expansion across other Dutch cities and EU urban centers facing similar demographic challenges. Crucially, this study will quantify the cost-effectiveness of pharmacist-led interventions in the Netherlands' publicly funded system, a metric vital for securing future reimbursement pathways under the Dutch Health Insurance Act.</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Finalized research protocol, ethics approval</w:t>
      </w:r>
    </w:p>
    <w:p>
      <w:pPr>
        <w:pStyle w:val="BodyText"/>
      </w:pPr>
      <w:r>
        <w:t xml:space="preserve">Data Collection (Pharmacy Surveys + Patient Focus Groups)</w:t>
      </w:r>
    </w:p>
    <w:p>
      <w:pPr>
        <w:pStyle w:val="BodyText"/>
      </w:pPr>
      <w:r>
        <w:t xml:space="preserve">4-9</w:t>
      </w:r>
    </w:p>
    <w:p>
      <w:pPr>
        <w:pStyle w:val="BodyText"/>
      </w:pPr>
      <w:r>
        <w:t xml:space="preserve">Survey datasets, focus group transcripts</w:t>
      </w:r>
    </w:p>
    <w:p>
      <w:pPr>
        <w:pStyle w:val="BodyText"/>
      </w:pPr>
      <w:r>
        <w:t xml:space="preserve">Data Analysis &amp; Framework Development</w:t>
      </w:r>
    </w:p>
    <w:p>
      <w:pPr>
        <w:pStyle w:val="BodyText"/>
      </w:pPr>
      <w:r>
        <w:t xml:space="preserve">10-12</w:t>
      </w:r>
    </w:p>
    <w:p>
      <w:pPr>
        <w:pStyle w:val="BodyText"/>
      </w:pPr>
      <w:r>
        <w:t xml:space="preserve">draft framework document, preliminary policy recommendations</w:t>
      </w:r>
    </w:p>
    <w:p>
      <w:pPr>
        <w:pStyle w:val="BodyText"/>
      </w:pPr>
      <w:r>
        <w:t xml:space="preserve">Validation &amp; Thesis Drafting</w:t>
      </w:r>
    </w:p>
    <w:p>
      <w:pPr>
        <w:pStyle w:val="BodyText"/>
      </w:pPr>
      <w:r>
        <w:t xml:space="preserve">13-14</w:t>
      </w:r>
    </w:p>
    <w:p>
      <w:pPr>
        <w:pStyle w:val="BodyText"/>
      </w:pPr>
      <w:r>
        <w:t xml:space="preserve">Final thesis proposal, stakeholder feedback report</w:t>
      </w:r>
    </w:p>
    <w:bookmarkEnd w:id="26"/>
    <w:bookmarkStart w:id="28" w:name="conclusion"/>
    <w:p>
      <w:pPr>
        <w:pStyle w:val="Heading2"/>
      </w:pPr>
      <w:r>
        <w:t xml:space="preserve">Conclusion</w:t>
      </w:r>
    </w:p>
    <w:p>
      <w:pPr>
        <w:pStyle w:val="FirstParagraph"/>
      </w:pPr>
      <w:r>
        <w:t xml:space="preserve">The Netherlands Amsterdam stands at a crossroads where demographic complexity demands innovative healthcare solutions. This Thesis Proposal asserts that the Pharmacist—equipped with clinical expertise, cultural awareness, and policy acumen—can become a linchpin of Amsterdam's sustainable healthcare future. By rigorously examining barriers and opportunities within the Dutch context, this research will provide actionable strategies to transform pharmacy practice from transactional dispensing to preventative health leadership. The outcomes will directly support the Netherlands' national goal of "Healthcare for Everyone" while delivering a replicable model for urban centers worldwide. As Amsterdam's healthcare system evolves toward greater integration, this Thesis Proposal positions the Pharmacist not merely as a medication handler but as an indispensable community health architect—proving that in the heart of Netherlands Amsterdam, pharmacy innovation is synonymous with compassionate care.</w:t>
      </w:r>
    </w:p>
    <w:bookmarkStart w:id="27" w:name="references-selected"/>
    <w:p>
      <w:pPr>
        <w:pStyle w:val="Heading3"/>
      </w:pPr>
      <w:r>
        <w:t xml:space="preserve">References (Selected)</w:t>
      </w:r>
    </w:p>
    <w:p>
      <w:pPr>
        <w:numPr>
          <w:ilvl w:val="0"/>
          <w:numId w:val="1003"/>
        </w:numPr>
        <w:pStyle w:val="Compact"/>
      </w:pPr>
      <w:r>
        <w:t xml:space="preserve">Dutch Ministry of Health. (2021). *Pharmacy Act: 2013 Revisions and Implementation Guidelines*. The Hague.</w:t>
      </w:r>
    </w:p>
    <w:p>
      <w:pPr>
        <w:numPr>
          <w:ilvl w:val="0"/>
          <w:numId w:val="1003"/>
        </w:numPr>
        <w:pStyle w:val="Compact"/>
      </w:pPr>
      <w:r>
        <w:t xml:space="preserve">Koster, E. et al. (2022). "Cultural Barriers in Medication Adherence: A Study of Immigrant Communities in Amsterdam." *International Journal of Pharmacy Practice*, 30(4), 411–419.</w:t>
      </w:r>
    </w:p>
    <w:p>
      <w:pPr>
        <w:numPr>
          <w:ilvl w:val="0"/>
          <w:numId w:val="1003"/>
        </w:numPr>
        <w:pStyle w:val="Compact"/>
      </w:pPr>
      <w:r>
        <w:t xml:space="preserve">de Graaf, M. et al. (2021). "Pharmacist-Led Vaccination Services in the Netherlands: A National Survey." *European Journal of Hospital Pharmacy*, 28(6), e35–e39.</w:t>
      </w:r>
    </w:p>
    <w:p>
      <w:pPr>
        <w:numPr>
          <w:ilvl w:val="0"/>
          <w:numId w:val="1003"/>
        </w:numPr>
        <w:pStyle w:val="Compact"/>
      </w:pPr>
      <w:r>
        <w:t xml:space="preserve">Gemeente Amsterdam. (2023). *Amsterdam Health Monitoring Report*. Urban Health Division.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Netherlands Amsterdam</dc:title>
  <dc:creator/>
  <dc:language>en</dc:language>
  <cp:keywords/>
  <dcterms:created xsi:type="dcterms:W3CDTF">2025-12-09T15:40:04Z</dcterms:created>
  <dcterms:modified xsi:type="dcterms:W3CDTF">2025-12-09T15:40:04Z</dcterms:modified>
</cp:coreProperties>
</file>

<file path=docProps/custom.xml><?xml version="1.0" encoding="utf-8"?>
<Properties xmlns="http://schemas.openxmlformats.org/officeDocument/2006/custom-properties" xmlns:vt="http://schemas.openxmlformats.org/officeDocument/2006/docPropsVTypes"/>
</file>