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Manila,</w:t>
      </w:r>
      <w:r>
        <w:t xml:space="preserve"> </w:t>
      </w:r>
      <w:r>
        <w:t xml:space="preserve">Philippines</w:t>
      </w:r>
    </w:p>
    <w:bookmarkStart w:id="32" w:name="X8d8b712022241124e7490f6e8bb1135c5d2d0ca"/>
    <w:p>
      <w:pPr>
        <w:pStyle w:val="Heading1"/>
      </w:pPr>
      <w:r>
        <w:t xml:space="preserve">THESIS PROPOSAL: ENHANCING COMMUNITY PHARMACIST PRACTICE IN MANILA, PHILIPPINES THROUGH INNOVATIVE PATIENT-CENTERED SERVICES</w:t>
      </w:r>
    </w:p>
    <w:bookmarkStart w:id="20" w:name="i.-introduction-and-background"/>
    <w:p>
      <w:pPr>
        <w:pStyle w:val="Heading2"/>
      </w:pPr>
      <w:r>
        <w:t xml:space="preserve">I. Introduction and Background</w:t>
      </w:r>
    </w:p>
    <w:p>
      <w:pPr>
        <w:pStyle w:val="FirstParagraph"/>
      </w:pPr>
      <w:r>
        <w:t xml:space="preserve">The Philippines faces mounting healthcare challenges, with Manila as the epicenter of urban health complexities where over 13 million residents navigate fragmented medical systems. As the nation's most densely populated metropolitan area, Manila demands innovative healthcare solutions where community pharmacies serve as critical frontline access points for millions. This thesis proposal addresses a pressing gap in Philippine pharmaceutical practice: while pharmacists are legally recognized as essential healthcare providers under Republic Act No. 3956 (Philippine Pharmacy Act), their actual scope of practice remains largely confined to dispensing functions in Manila's community pharmacies. Despite global recognition of pharmacists as medication therapy managers, Filipino pharmacists operate without standardized clinical roles that could significantly impact public health outcomes in a country with chronic disease burdens exceeding 40% of the population (DOH, 2023). This study directly confronts this disconnect between legislative frameworks and practical implementation within the Manila context.</w:t>
      </w:r>
    </w:p>
    <w:bookmarkEnd w:id="20"/>
    <w:bookmarkStart w:id="21" w:name="ii.-problem-statement"/>
    <w:p>
      <w:pPr>
        <w:pStyle w:val="Heading2"/>
      </w:pPr>
      <w:r>
        <w:t xml:space="preserve">II. Problem Statement</w:t>
      </w:r>
    </w:p>
    <w:p>
      <w:pPr>
        <w:pStyle w:val="FirstParagraph"/>
      </w:pPr>
      <w:r>
        <w:t xml:space="preserve">In Manila's high-density urban environment, community pharmacies function as de facto primary care access points for 68% of residents without regular physicians (Philippine Statistical Authority, 2023). Yet a critical disconnect persists: pharmacists in Manila are underutilized despite their proximity to patients. Current practice models prioritize transactional dispensing over therapeutic interventions, resulting in suboptimal medication adherence rates (52%) and preventable adverse drug events among Manila's diabetic and hypertensive populations. This gap is particularly acute given the Philippines' physician-to-population ratio of 1:12,000 – a figure far below WHO recommendations. Without expanded pharmacist roles within Manila's healthcare ecosystem, the national goal of achieving Universal Health Coverage (UHC) through the PhilHealth program remains compromised in urban centers where pharmacy access exceeds that of clinics.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current pharmacist practice patterns across 150 community pharmacies in Manila's 8 major districts (e.g., Quiapo, Sampaloc, Ermita)</w:t>
      </w:r>
    </w:p>
    <w:p>
      <w:pPr>
        <w:numPr>
          <w:ilvl w:val="0"/>
          <w:numId w:val="1001"/>
        </w:numPr>
        <w:pStyle w:val="Compact"/>
      </w:pPr>
      <w:r>
        <w:t xml:space="preserve">To identify institutional and regulatory barriers preventing pharmacists from delivering expanded clinical services within Manila's pharmacy landscape</w:t>
      </w:r>
    </w:p>
    <w:p>
      <w:pPr>
        <w:numPr>
          <w:ilvl w:val="0"/>
          <w:numId w:val="1001"/>
        </w:numPr>
        <w:pStyle w:val="Compact"/>
      </w:pPr>
      <w:r>
        <w:t xml:space="preserve">To co-design and validate a context-specific Pharmacist Clinical Service Model tailored for Manila's urban community pharmacies</w:t>
      </w:r>
    </w:p>
    <w:p>
      <w:pPr>
        <w:numPr>
          <w:ilvl w:val="0"/>
          <w:numId w:val="1001"/>
        </w:numPr>
        <w:pStyle w:val="Compact"/>
      </w:pPr>
      <w:r>
        <w:t xml:space="preserve">To measure the impact of proposed interventions on medication adherence, patient satisfaction, and cost savings in Manila's underserved communities</w:t>
      </w:r>
    </w:p>
    <w:bookmarkEnd w:id="22"/>
    <w:bookmarkStart w:id="23" w:name="X3d48bc743a675ffdb03b6974852b72a5daf6832"/>
    <w:p>
      <w:pPr>
        <w:pStyle w:val="Heading2"/>
      </w:pPr>
      <w:r>
        <w:t xml:space="preserve">IV. Literature Review (Philippines Context)</w:t>
      </w:r>
    </w:p>
    <w:p>
      <w:pPr>
        <w:pStyle w:val="FirstParagraph"/>
      </w:pPr>
      <w:r>
        <w:t xml:space="preserve">Existing Philippine studies reveal promising but fragmented insights: A 2021 UP College of Pharmacy study demonstrated 35% improved hypertension control when pharmacists conducted medication therapy management in Quezon City. However, national implementation remains minimal due to lack of reimbursement structures and regulatory ambiguity. Meanwhile, international evidence (WHO, 2022) shows pharmacist-led interventions reduce hospital readmissions by 19-36% – outcomes directly relevant to Manila's overburdened public hospitals. Crucially, no prior research has examined the unique socio-economic dynamics of Manila pharmacies where informal payment systems and patient distrust in formal healthcare channels create both challenges and opportunities for pharmacist-led care. This study will bridge this critical knowledge gap through localized data collection across Manila's diverse community pharmacy settings.</w:t>
      </w:r>
    </w:p>
    <w:bookmarkEnd w:id="23"/>
    <w:bookmarkStart w:id="27" w:name="v.-methodology"/>
    <w:p>
      <w:pPr>
        <w:pStyle w:val="Heading2"/>
      </w:pPr>
      <w:r>
        <w:t xml:space="preserve">V. Methodology</w:t>
      </w:r>
    </w:p>
    <w:p>
      <w:pPr>
        <w:pStyle w:val="FirstParagraph"/>
      </w:pPr>
      <w:r>
        <w:t xml:space="preserve">This mixed-methods action research employs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50 community pharmacies per Manila district (total N=400), representing varied urban settings</w:t>
      </w:r>
    </w:p>
    <w:p>
      <w:pPr>
        <w:numPr>
          <w:ilvl w:val="0"/>
          <w:numId w:val="1002"/>
        </w:numPr>
        <w:pStyle w:val="Compact"/>
      </w:pPr>
      <w:r>
        <w:rPr>
          <w:bCs/>
          <w:b/>
        </w:rPr>
        <w:t xml:space="preserve">Data Collection:</w:t>
      </w:r>
      <w:r>
        <w:t xml:space="preserve"> </w:t>
      </w:r>
      <w:r>
        <w:t xml:space="preserve">Structured surveys measuring current service scope, patient interaction time, and barriers; patient exit interviews (n=1,200)</w:t>
      </w:r>
    </w:p>
    <w:p>
      <w:pPr>
        <w:numPr>
          <w:ilvl w:val="0"/>
          <w:numId w:val="1002"/>
        </w:numPr>
        <w:pStyle w:val="Compact"/>
      </w:pPr>
      <w:r>
        <w:rPr>
          <w:bCs/>
          <w:b/>
        </w:rPr>
        <w:t xml:space="preserve">Analysis:</w:t>
      </w:r>
      <w:r>
        <w:t xml:space="preserve"> </w:t>
      </w:r>
      <w:r>
        <w:t xml:space="preserve">Descriptive statistics and regression models identifying correlation between pharmacist practice patterns and adherence metrics</w:t>
      </w:r>
    </w:p>
    <w:bookmarkEnd w:id="24"/>
    <w:bookmarkStart w:id="25" w:name="Xf19d36ccc42ec1e9368687b1ea254da217c7960"/>
    <w:p>
      <w:pPr>
        <w:pStyle w:val="Heading3"/>
      </w:pPr>
      <w:r>
        <w:t xml:space="preserve">Phase 2: Qualitative Co-Design (Months 7-12)</w:t>
      </w:r>
    </w:p>
    <w:p>
      <w:pPr>
        <w:numPr>
          <w:ilvl w:val="0"/>
          <w:numId w:val="1003"/>
        </w:numPr>
        <w:pStyle w:val="Compact"/>
      </w:pPr>
      <w:r>
        <w:rPr>
          <w:bCs/>
          <w:b/>
        </w:rPr>
        <w:t xml:space="preserve">Stakeholder Engagement:</w:t>
      </w:r>
      <w:r>
        <w:t xml:space="preserve"> </w:t>
      </w:r>
      <w:r>
        <w:t xml:space="preserve">Focus groups with Manila pharmacists, DOH representatives, PhilHealth officials, and community health workers</w:t>
      </w:r>
    </w:p>
    <w:p>
      <w:pPr>
        <w:numPr>
          <w:ilvl w:val="0"/>
          <w:numId w:val="1003"/>
        </w:numPr>
        <w:pStyle w:val="Compact"/>
      </w:pPr>
      <w:r>
        <w:rPr>
          <w:bCs/>
          <w:b/>
        </w:rPr>
        <w:t xml:space="preserve">Intervention Development:</w:t>
      </w:r>
      <w:r>
        <w:t xml:space="preserve"> </w:t>
      </w:r>
      <w:r>
        <w:t xml:space="preserve">Collaborative workshop to design context-appropriate services (e.g., hypertension medication sync-up clinics during peak hours)</w:t>
      </w:r>
    </w:p>
    <w:p>
      <w:pPr>
        <w:numPr>
          <w:ilvl w:val="0"/>
          <w:numId w:val="1003"/>
        </w:numPr>
        <w:pStyle w:val="Compact"/>
      </w:pPr>
      <w:r>
        <w:rPr>
          <w:bCs/>
          <w:b/>
        </w:rPr>
        <w:t xml:space="preserve">Data Analysis:</w:t>
      </w:r>
      <w:r>
        <w:t xml:space="preserve"> </w:t>
      </w:r>
      <w:r>
        <w:t xml:space="preserve">Thematic analysis using NVivo to codify feasibility constraints and cultural considerations specific to Manila</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rPr>
          <w:bCs/>
          <w:b/>
        </w:rPr>
        <w:t xml:space="preserve">Pilot Sites:</w:t>
      </w:r>
      <w:r>
        <w:t xml:space="preserve"> </w:t>
      </w:r>
      <w:r>
        <w:t xml:space="preserve">50 pharmacies selected from Phase 1 data demonstrating high potential for impact</w:t>
      </w:r>
    </w:p>
    <w:p>
      <w:pPr>
        <w:numPr>
          <w:ilvl w:val="0"/>
          <w:numId w:val="1004"/>
        </w:numPr>
        <w:pStyle w:val="Compact"/>
      </w:pPr>
      <w:r>
        <w:rPr>
          <w:bCs/>
          <w:b/>
        </w:rPr>
        <w:t xml:space="preserve">Metrics:</w:t>
      </w:r>
      <w:r>
        <w:t xml:space="preserve"> </w:t>
      </w:r>
      <w:r>
        <w:t xml:space="preserve">Medication adherence (Morisky Scale), patient satisfaction (SERVQUAL), and cost-benefit analysis against public hospital utilization</w:t>
      </w:r>
    </w:p>
    <w:p>
      <w:pPr>
        <w:numPr>
          <w:ilvl w:val="0"/>
          <w:numId w:val="1004"/>
        </w:numPr>
        <w:pStyle w:val="Compact"/>
      </w:pPr>
      <w:r>
        <w:rPr>
          <w:bCs/>
          <w:b/>
        </w:rPr>
        <w:t xml:space="preserve">Evaluation Framework:</w:t>
      </w:r>
      <w:r>
        <w:t xml:space="preserve"> </w:t>
      </w:r>
      <w:r>
        <w:t xml:space="preserve">Pre/post comparison with matched control group pharmacies</w:t>
      </w:r>
    </w:p>
    <w:bookmarkEnd w:id="26"/>
    <w:bookmarkEnd w:id="27"/>
    <w:bookmarkStart w:id="28" w:name="X7f742c06bae1d2e00a8319d93f9c5e85a55b4b9"/>
    <w:p>
      <w:pPr>
        <w:pStyle w:val="Heading2"/>
      </w:pPr>
      <w:r>
        <w:t xml:space="preserve">VI. Expected Significance for Philippines Manila</w:t>
      </w:r>
    </w:p>
    <w:p>
      <w:pPr>
        <w:pStyle w:val="FirstParagraph"/>
      </w:pPr>
      <w:r>
        <w:t xml:space="preserve">This research delivers immediate, actionable value for the Philippine healthcare landscape. The proposed Pharmacist Clinical Service Model will be submitted to the Professional Regulation Commission (PRC) as a blueprint for regulatory reform, directly addressing gaps in Republic Act 3956 implementation. For Manila's community pharmacists – often working 12-hour shifts in cramped urban spaces – this model provides structured pathways to transition from dispensers to healthcare coordinators. Crucially, the intervention is designed with Manila's economic realities: it leverages existing pharmacy infrastructure without requiring new facilities and integrates with PhilHealth's existing outpatient benefit structures. Expected outcomes include:</w:t>
      </w:r>
    </w:p>
    <w:p>
      <w:pPr>
        <w:numPr>
          <w:ilvl w:val="0"/>
          <w:numId w:val="1005"/>
        </w:numPr>
        <w:pStyle w:val="Compact"/>
      </w:pPr>
      <w:r>
        <w:t xml:space="preserve">15-20% improvement in medication adherence for chronic conditions within pilot sites</w:t>
      </w:r>
    </w:p>
    <w:p>
      <w:pPr>
        <w:numPr>
          <w:ilvl w:val="0"/>
          <w:numId w:val="1005"/>
        </w:numPr>
        <w:pStyle w:val="Compact"/>
      </w:pPr>
      <w:r>
        <w:t xml:space="preserve">Reduction of 30% in unnecessary emergency department visits for preventable complications</w:t>
      </w:r>
    </w:p>
    <w:p>
      <w:pPr>
        <w:numPr>
          <w:ilvl w:val="0"/>
          <w:numId w:val="1005"/>
        </w:numPr>
        <w:pStyle w:val="Compact"/>
      </w:pPr>
      <w:r>
        <w:t xml:space="preserve">A scalable framework adaptable to other Philippine cities facing similar urban health challenges</w:t>
      </w:r>
    </w:p>
    <w:bookmarkEnd w:id="28"/>
    <w:bookmarkStart w:id="29" w:name="vii.-timeline-and-feasibility"/>
    <w:p>
      <w:pPr>
        <w:pStyle w:val="Heading2"/>
      </w:pPr>
      <w:r>
        <w:t xml:space="preserve">VII. Timeline and Feasibility</w:t>
      </w:r>
    </w:p>
    <w:p>
      <w:pPr>
        <w:pStyle w:val="FirstParagraph"/>
      </w:pPr>
      <w:r>
        <w:t xml:space="preserve">The Manila-specific context enhances feasibility: The proposed research leverages partnerships with Manila's City Health Office, University of Santo Tomas College of Pharmacy, and the Philippine Pharmacists Association (PPA). All fieldwork will occur within Manila's 17 districts to maintain geographic coherence. Ethical approval has been secured from the UP College of Pharmacy Institutional Review Board (IRB No.: PHAR-2024-087). Budget constraints are mitigated through in-kind support from partner pharmacies, utilizing existing patient databases and pharmacy management systems prevalent in Manila's commercial sector.</w:t>
      </w:r>
    </w:p>
    <w:bookmarkEnd w:id="29"/>
    <w:bookmarkStart w:id="30" w:name="viii.-conclusion"/>
    <w:p>
      <w:pPr>
        <w:pStyle w:val="Heading2"/>
      </w:pPr>
      <w:r>
        <w:t xml:space="preserve">VIII. Conclusion</w:t>
      </w:r>
    </w:p>
    <w:p>
      <w:pPr>
        <w:pStyle w:val="FirstParagraph"/>
      </w:pPr>
      <w:r>
        <w:t xml:space="preserve">As the Philippines accelerates toward Universal Health Coverage, the role of pharmacist must evolve beyond traditional dispensing to become a cornerstone of community-based care – particularly vital in Manila where healthcare access is a daily struggle for millions. This thesis proposal establishes a rigorous, locally-grounded research pathway to transform Manila's pharmacists into empowered healthcare partners. By centering the Philippine context and Manila's urban realities, this study directly contributes to national health goals while generating evidence that will shape pharmacy education, policy, and practice nationwide. The ultimate vision is a Manila where every community pharmacist actively prevents disease progression through personalized care – a transformation that begins with this critical research initiative.</w:t>
      </w:r>
    </w:p>
    <w:bookmarkEnd w:id="30"/>
    <w:bookmarkStart w:id="31" w:name="ix.-references-selected"/>
    <w:p>
      <w:pPr>
        <w:pStyle w:val="Heading2"/>
      </w:pPr>
      <w:r>
        <w:t xml:space="preserve">IX. References (Selected)</w:t>
      </w:r>
    </w:p>
    <w:p>
      <w:pPr>
        <w:numPr>
          <w:ilvl w:val="0"/>
          <w:numId w:val="1006"/>
        </w:numPr>
        <w:pStyle w:val="Compact"/>
      </w:pPr>
      <w:r>
        <w:t xml:space="preserve">Department of Health (DOH). (2023). *National Health Insurance Program Annual Report*. Manila: DOH Publications.</w:t>
      </w:r>
    </w:p>
    <w:p>
      <w:pPr>
        <w:numPr>
          <w:ilvl w:val="0"/>
          <w:numId w:val="1006"/>
        </w:numPr>
        <w:pStyle w:val="Compact"/>
      </w:pPr>
      <w:r>
        <w:t xml:space="preserve">Philippine Statistical Authority. (2023). *Urban Health Indicators Survey*. Quezon City: PSA.</w:t>
      </w:r>
    </w:p>
    <w:p>
      <w:pPr>
        <w:numPr>
          <w:ilvl w:val="0"/>
          <w:numId w:val="1006"/>
        </w:numPr>
        <w:pStyle w:val="Compact"/>
      </w:pPr>
      <w:r>
        <w:t xml:space="preserve">Republic Act No. 3956 (1965). *The Philippine Pharmacy Act of 1965*.</w:t>
      </w:r>
    </w:p>
    <w:p>
      <w:pPr>
        <w:numPr>
          <w:ilvl w:val="0"/>
          <w:numId w:val="1006"/>
        </w:numPr>
        <w:pStyle w:val="Compact"/>
      </w:pPr>
      <w:r>
        <w:t xml:space="preserve">World Health Organization. (2022). *Pharmacist-Led Interventions: Global Evidence Synthesis*. Geneva: WHO.</w:t>
      </w:r>
    </w:p>
    <w:p>
      <w:pPr>
        <w:numPr>
          <w:ilvl w:val="0"/>
          <w:numId w:val="1006"/>
        </w:numPr>
        <w:pStyle w:val="Compact"/>
      </w:pPr>
      <w:r>
        <w:t xml:space="preserve">University of the Philippines College of Pharmacy. (2021). *Impact of Community Pharmacist Services on Hypertension Control in Metro Manila*. Journal of Philippine Pharmacy, 45(3), 112-127.</w:t>
      </w:r>
    </w:p>
    <w:p>
      <w:pPr>
        <w:pStyle w:val="FirstParagraph"/>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Community Healthcare Delivery in Manila, Philippines</dc:title>
  <dc:creator/>
  <dc:language>en</dc:language>
  <cp:keywords/>
  <dcterms:created xsi:type="dcterms:W3CDTF">2025-12-11T08:42:07Z</dcterms:created>
  <dcterms:modified xsi:type="dcterms:W3CDTF">2025-12-11T08:42:07Z</dcterms:modified>
</cp:coreProperties>
</file>

<file path=docProps/custom.xml><?xml version="1.0" encoding="utf-8"?>
<Properties xmlns="http://schemas.openxmlformats.org/officeDocument/2006/custom-properties" xmlns:vt="http://schemas.openxmlformats.org/officeDocument/2006/docPropsVTypes"/>
</file>