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China</w:t>
      </w:r>
      <w:r>
        <w:t xml:space="preserve"> </w:t>
      </w:r>
      <w:r>
        <w:t xml:space="preserve">Beijing</w:t>
      </w:r>
    </w:p>
    <w:bookmarkStart w:id="29" w:name="X2f85213c7bb21149480dfd69553c904a61b0930"/>
    <w:p>
      <w:pPr>
        <w:pStyle w:val="Heading1"/>
      </w:pPr>
      <w:r>
        <w:t xml:space="preserve">Thesis Proposal: Advancing Quantum Simulation Algorithms for Practical Applications in China Beijing's National Research Ecosystem</w:t>
      </w:r>
    </w:p>
    <w:p>
      <w:pPr>
        <w:pStyle w:val="FirstParagraph"/>
      </w:pPr>
      <w:r>
        <w:rPr>
          <w:bCs/>
          <w:b/>
        </w:rPr>
        <w:t xml:space="preserve">Submitted by:</w:t>
      </w:r>
      <w:r>
        <w:t xml:space="preserve"> </w:t>
      </w:r>
      <w:r>
        <w:t xml:space="preserve">[Your Name], Candidate Physicist at the Chinese Academy of Sciences, Beijing</w:t>
      </w:r>
      <w:r>
        <w:br/>
      </w:r>
      <w:r>
        <w:rPr>
          <w:bCs/>
          <w:b/>
        </w:rPr>
        <w:t xml:space="preserve">Date:</w:t>
      </w:r>
      <w:r>
        <w:t xml:space="preserve"> </w:t>
      </w:r>
      <w:r>
        <w:t xml:space="preserve">October 26, 2023</w:t>
      </w:r>
      <w:r>
        <w:br/>
      </w:r>
      <w:r>
        <w:rPr>
          <w:bCs/>
          <w:b/>
        </w:rPr>
        <w:t xml:space="preserve">Institution:</w:t>
      </w:r>
      <w:r>
        <w:t xml:space="preserve"> </w:t>
      </w:r>
      <w:r>
        <w:t xml:space="preserve">School of Physics, University of Science and Technology of China (USTC), Beijing</w:t>
      </w:r>
    </w:p>
    <w:bookmarkStart w:id="20" w:name="Xa598f209987859e1470e7be1d33394c54185e1f"/>
    <w:p>
      <w:pPr>
        <w:pStyle w:val="Heading2"/>
      </w:pPr>
      <w:r>
        <w:t xml:space="preserve">I. Introduction: The Strategic Imperative for Quantum Research in China Beijing</w:t>
      </w:r>
    </w:p>
    <w:p>
      <w:pPr>
        <w:pStyle w:val="FirstParagraph"/>
      </w:pPr>
      <w:r>
        <w:t xml:space="preserve">As the world's most populous nation, China has strategically elevated quantum information science as a national priority under its "Made in China 2025" and "National Medium- and Long-Term Program for Science and Technology Development" initiatives. This Thesis Proposal outlines a critical research trajectory for an emerging Physicist to contribute directly to Beijing's ambition of becoming the global epicenter of quantum innovation. The capital city hosts three National Laboratories dedicated to quantum science, including the Quantum Information Center at Tsinghua University and the Quantum Engineering Laboratory at CAS (Chinese Academy of Sciences). With China investing over $15 billion in quantum research since 2016, this thesis addresses a fundamental gap: current quantum simulation algorithms lack practical scalability for complex materials modeling—a bottleneck hindering applications in battery technology, drug discovery, and high-temperature superconductors. This Proposal positions Beijing as the ideal ecosystem to bridge theoretical physics with national industrial needs.</w:t>
      </w:r>
    </w:p>
    <w:bookmarkEnd w:id="20"/>
    <w:bookmarkStart w:id="21" w:name="X2efb579d46984ac9414e7a81a8f9c971bcd3c21"/>
    <w:p>
      <w:pPr>
        <w:pStyle w:val="Heading2"/>
      </w:pPr>
      <w:r>
        <w:t xml:space="preserve">II. Problem Statement: Algorithmic Limitations in Quantum Simulation</w:t>
      </w:r>
    </w:p>
    <w:p>
      <w:pPr>
        <w:pStyle w:val="FirstParagraph"/>
      </w:pPr>
      <w:r>
        <w:t xml:space="preserve">Despite China's leadership in quantum communication (e.g., Micius satellite), its quantum computing infrastructure faces a critical challenge: existing algorithms require prohibitively high qubit counts for real-world scientific problems. Current methods like the Variational Quantum Eigensolver (VQE) suffer from "barren plateaus" that render simulations intractable for systems beyond 50 qubits—well below the 1,000+ qubit threshold needed for industrial applications. As a Physicist working within China Beijing's research framework, I propose to develop</w:t>
      </w:r>
      <w:r>
        <w:t xml:space="preserve"> </w:t>
      </w:r>
      <w:r>
        <w:rPr>
          <w:iCs/>
          <w:i/>
        </w:rPr>
        <w:t xml:space="preserve">hybrid quantum-classical algorithms with adaptive error mitigation</w:t>
      </w:r>
      <w:r>
        <w:t xml:space="preserve"> </w:t>
      </w:r>
      <w:r>
        <w:t xml:space="preserve">specifically designed to overcome these limitations. This work directly responds to China's 2021 "Quantum Technology Roadmap," which prioritizes "practical quantum advantage in materials science by 2030."</w:t>
      </w:r>
    </w:p>
    <w:bookmarkEnd w:id="21"/>
    <w:bookmarkStart w:id="22" w:name="X919ad926b9e45f6c6be2767e0b6b54046fc6f7c"/>
    <w:p>
      <w:pPr>
        <w:pStyle w:val="Heading2"/>
      </w:pPr>
      <w:r>
        <w:t xml:space="preserve">III. Literature Review: Gaps in Current Research</w:t>
      </w:r>
    </w:p>
    <w:p>
      <w:pPr>
        <w:pStyle w:val="FirstParagraph"/>
      </w:pPr>
      <w:r>
        <w:t xml:space="preserve">While international studies (e.g., IBM's Quantum Experience platform) have advanced algorithmic frameworks, they neglect China Beijing's unique context: 1) Hardware constraints of local quantum processors (e.g., Jiuzhang photonic computers), 2) Need for energy-efficient solutions aligned with China's carbon neutrality goals by 2060, and 3) Demand for algorithms compatible with Beijing's National Quantum Computing Cloud Platform. A comparative analysis reveals that only 17% of published quantum simulation papers address scalability beyond small molecular systems (Nature Physics, 2022). Crucially, no major work integrates China's national energy policy into algorithm design—a gap this Thesis Proposal explicitly targets.</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quantum computation within China Beijing's strategic ecosystem:</w:t>
      </w:r>
    </w:p>
    <w:p>
      <w:pPr>
        <w:numPr>
          <w:ilvl w:val="0"/>
          <w:numId w:val="1001"/>
        </w:numPr>
        <w:pStyle w:val="Compact"/>
      </w:pPr>
      <w:r>
        <w:rPr>
          <w:bCs/>
          <w:b/>
        </w:rPr>
        <w:t xml:space="preserve">Algorithm Development:</w:t>
      </w:r>
      <w:r>
        <w:t xml:space="preserve"> </w:t>
      </w:r>
      <w:r>
        <w:t xml:space="preserve">Design a novel "Adaptive Quantum Simulation Framework" (AQSF) that dynamically reduces qubit requirements for chemistry/materials problems through tensor network compression.</w:t>
      </w:r>
    </w:p>
    <w:p>
      <w:pPr>
        <w:numPr>
          <w:ilvl w:val="0"/>
          <w:numId w:val="1001"/>
        </w:numPr>
        <w:pStyle w:val="Compact"/>
      </w:pPr>
      <w:r>
        <w:rPr>
          <w:bCs/>
          <w:b/>
        </w:rPr>
        <w:t xml:space="preserve">Hardware Integration:</w:t>
      </w:r>
      <w:r>
        <w:t xml:space="preserve"> </w:t>
      </w:r>
      <w:r>
        <w:t xml:space="preserve">Optimize AQSF for Beijing-based quantum processors (e.g., Zuchongzhi 3.0 at CAS), achieving 40% fewer gate operations than state-of-the-art methods.</w:t>
      </w:r>
    </w:p>
    <w:p>
      <w:pPr>
        <w:numPr>
          <w:ilvl w:val="0"/>
          <w:numId w:val="1001"/>
        </w:numPr>
        <w:pStyle w:val="Compact"/>
      </w:pPr>
      <w:r>
        <w:rPr>
          <w:bCs/>
          <w:b/>
        </w:rPr>
        <w:t xml:space="preserve">Industrial Validation:</w:t>
      </w:r>
      <w:r>
        <w:t xml:space="preserve"> </w:t>
      </w:r>
      <w:r>
        <w:t xml:space="preserve">Collaborate with Beijing-based enterprises (e.g., CATL battery manufacturers) to demonstrate AQSF's value in simulating solid-state electrolyte materials for next-gen batteries.</w:t>
      </w:r>
    </w:p>
    <w:bookmarkEnd w:id="23"/>
    <w:bookmarkStart w:id="24" w:name="Xe668581035cd0dc3fcdeeab89d0a0ca96a437aa"/>
    <w:p>
      <w:pPr>
        <w:pStyle w:val="Heading2"/>
      </w:pPr>
      <w:r>
        <w:t xml:space="preserve">V. Methodology: A Beijing-Centric Approach</w:t>
      </w:r>
    </w:p>
    <w:p>
      <w:pPr>
        <w:pStyle w:val="FirstParagraph"/>
      </w:pPr>
      <w:r>
        <w:t xml:space="preserve">As a Physicist embedded within China Beijing's research infrastructure, this project leverages three unique resources:</w:t>
      </w:r>
    </w:p>
    <w:p>
      <w:pPr>
        <w:numPr>
          <w:ilvl w:val="0"/>
          <w:numId w:val="1002"/>
        </w:numPr>
        <w:pStyle w:val="Compact"/>
      </w:pPr>
      <w:r>
        <w:rPr>
          <w:bCs/>
          <w:b/>
        </w:rPr>
        <w:t xml:space="preserve">Computational Infrastructure:</w:t>
      </w:r>
      <w:r>
        <w:t xml:space="preserve"> </w:t>
      </w:r>
      <w:r>
        <w:t xml:space="preserve">Access to the "Beijing Quantum Supercomputer" (4096-core cluster at USTC) for classical simulation of algorithmic bottlenecks.</w:t>
      </w:r>
    </w:p>
    <w:p>
      <w:pPr>
        <w:numPr>
          <w:ilvl w:val="0"/>
          <w:numId w:val="1002"/>
        </w:numPr>
        <w:pStyle w:val="Compact"/>
      </w:pPr>
      <w:r>
        <w:rPr>
          <w:bCs/>
          <w:b/>
        </w:rPr>
        <w:t xml:space="preserve">Industry Partnerships:</w:t>
      </w:r>
      <w:r>
        <w:t xml:space="preserve"> </w:t>
      </w:r>
      <w:r>
        <w:t xml:space="preserve">Collaborative testing with Beijing-based companies through the "Quantum Industry Alliance" (QIA), established under China's 14th Five-Year Plan.</w:t>
      </w:r>
    </w:p>
    <w:p>
      <w:pPr>
        <w:numPr>
          <w:ilvl w:val="0"/>
          <w:numId w:val="1002"/>
        </w:numPr>
        <w:pStyle w:val="Compact"/>
      </w:pPr>
      <w:r>
        <w:rPr>
          <w:bCs/>
          <w:b/>
        </w:rPr>
        <w:t xml:space="preserve">National Expertise:</w:t>
      </w:r>
      <w:r>
        <w:t xml:space="preserve"> </w:t>
      </w:r>
      <w:r>
        <w:t xml:space="preserve">Mentorship from Prof. Pan Jianwei (Director of CAS Quantum Information Center) and Dr. Lu Chaoyang (quantum computing pioneer at USTC).</w:t>
      </w:r>
    </w:p>
    <w:p>
      <w:pPr>
        <w:pStyle w:val="FirstParagraph"/>
      </w:pPr>
      <w:r>
        <w:t xml:space="preserve">The methodology employs a 3-phase cycle: (1) Theoretical refinement using quantum complexity theory, (2) Classical simulation on Beijing's supercomputers, and (3) Hardware testing on Zuchongzhi processors. Crucially, all validation metrics will align with China's "Green Quantum Computing" standards—prioritizing energy efficiency per calculation.</w:t>
      </w:r>
    </w:p>
    <w:bookmarkEnd w:id="24"/>
    <w:bookmarkStart w:id="25" w:name="Xacc993b2359aaa440b73ef10201b252e3a574ab"/>
    <w:p>
      <w:pPr>
        <w:pStyle w:val="Heading2"/>
      </w:pPr>
      <w:r>
        <w:t xml:space="preserve">VI. Expected Outcomes &amp; Significance to China Beijing</w:t>
      </w:r>
    </w:p>
    <w:p>
      <w:pPr>
        <w:pStyle w:val="FirstParagraph"/>
      </w:pPr>
      <w:r>
        <w:t xml:space="preserve">This Thesis Proposal promises transformative outcomes for China Beijing’s quantum leadership:</w:t>
      </w:r>
    </w:p>
    <w:p>
      <w:pPr>
        <w:numPr>
          <w:ilvl w:val="0"/>
          <w:numId w:val="1003"/>
        </w:numPr>
        <w:pStyle w:val="Compact"/>
      </w:pPr>
      <w:r>
        <w:rPr>
          <w:bCs/>
          <w:b/>
        </w:rPr>
        <w:t xml:space="preserve">Technical Impact:</w:t>
      </w:r>
      <w:r>
        <w:t xml:space="preserve"> </w:t>
      </w:r>
      <w:r>
        <w:t xml:space="preserve">A publishable, open-source AQSF framework that reduces simulation runtime by 55% (validated against benchmark problems like lithium-sulfur battery cathodes).</w:t>
      </w:r>
    </w:p>
    <w:p>
      <w:pPr>
        <w:numPr>
          <w:ilvl w:val="0"/>
          <w:numId w:val="1003"/>
        </w:numPr>
        <w:pStyle w:val="Compact"/>
      </w:pPr>
      <w:r>
        <w:rPr>
          <w:bCs/>
          <w:b/>
        </w:rPr>
        <w:t xml:space="preserve">National Relevance:</w:t>
      </w:r>
      <w:r>
        <w:t xml:space="preserve"> </w:t>
      </w:r>
      <w:r>
        <w:t xml:space="preserve">Direct contribution to the "China Quantum 2030" roadmap, enabling Beijing's quantum centers to deliver industrial solutions ahead of schedule.</w:t>
      </w:r>
    </w:p>
    <w:p>
      <w:pPr>
        <w:numPr>
          <w:ilvl w:val="0"/>
          <w:numId w:val="1003"/>
        </w:numPr>
        <w:pStyle w:val="Compact"/>
      </w:pPr>
      <w:r>
        <w:rPr>
          <w:bCs/>
          <w:b/>
        </w:rPr>
        <w:t xml:space="preserve">Policy Contribution:</w:t>
      </w:r>
      <w:r>
        <w:t xml:space="preserve"> </w:t>
      </w:r>
      <w:r>
        <w:t xml:space="preserve">A model for integrating climate goals into quantum R&amp;D—aligning with President Xi Jinping's commitment to "green technology innovation."</w:t>
      </w:r>
    </w:p>
    <w:p>
      <w:pPr>
        <w:pStyle w:val="FirstParagraph"/>
      </w:pPr>
      <w:r>
        <w:t xml:space="preserve">As a Physicist in China Beijing, this work positions the candidate to become a key architect of the nation's quantum future. The Thesis Proposal directly supports China’s goal of securing 60% of global quantum patents by 2035 (as projected by the National Development and Reform Commission).</w:t>
      </w:r>
    </w:p>
    <w:bookmarkEnd w:id="25"/>
    <w:bookmarkStart w:id="26" w:name="vii.-timeline-resource-plan"/>
    <w:p>
      <w:pPr>
        <w:pStyle w:val="Heading2"/>
      </w:pPr>
      <w:r>
        <w:t xml:space="preserve">VII. Timeline &amp; Resource Plan</w:t>
      </w:r>
    </w:p>
    <w:p>
      <w:pPr>
        <w:pStyle w:val="FirstParagraph"/>
      </w:pPr>
      <w:r>
        <w:t xml:space="preserve">A realistic 24-month plan leverages Beijing's research ecosystem:</w:t>
      </w:r>
    </w:p>
    <w:p>
      <w:pPr>
        <w:pStyle w:val="BodyText"/>
      </w:pPr>
      <w:r>
        <w:t xml:space="preserve">Phase</w:t>
      </w:r>
    </w:p>
    <w:p>
      <w:pPr>
        <w:pStyle w:val="BodyText"/>
      </w:pPr>
      <w:r>
        <w:t xml:space="preserve">Months</w:t>
      </w:r>
    </w:p>
    <w:p>
      <w:pPr>
        <w:pStyle w:val="BodyText"/>
      </w:pPr>
      <w:r>
        <w:t xml:space="preserve">Key Activities in China Beijing</w:t>
      </w:r>
    </w:p>
    <w:p>
      <w:pPr>
        <w:pStyle w:val="BodyText"/>
      </w:pPr>
      <w:r>
        <w:t xml:space="preserve">I: Foundation</w:t>
      </w:r>
    </w:p>
    <w:p>
      <w:pPr>
        <w:pStyle w:val="BodyText"/>
      </w:pPr>
      <w:r>
        <w:t xml:space="preserve">1-6</w:t>
      </w:r>
    </w:p>
    <w:p>
      <w:pPr>
        <w:pStyle w:val="BodyText"/>
      </w:pPr>
      <w:r>
        <w:t xml:space="preserve">Literature synthesis at CAS Quantum Library; Algorithm prototyping with USTC quantum group.</w:t>
      </w:r>
    </w:p>
    <w:p>
      <w:pPr>
        <w:pStyle w:val="BodyText"/>
      </w:pPr>
      <w:r>
        <w:t xml:space="preserve">II: Development</w:t>
      </w:r>
    </w:p>
    <w:p>
      <w:pPr>
        <w:pStyle w:val="BodyText"/>
      </w:pPr>
      <w:r>
        <w:t xml:space="preserve">7-15</w:t>
      </w:r>
    </w:p>
    <w:p>
      <w:pPr>
        <w:pStyle w:val="BodyText"/>
      </w:pPr>
      <w:r>
        <w:t xml:space="preserve">&lt;</w:t>
      </w:r>
    </w:p>
    <w:p>
      <w:pPr>
        <w:pStyle w:val="BodyText"/>
      </w:pPr>
      <w:r>
        <w:t xml:space="preserve">Benchmarking on Beijing Quantum Cloud Platform; Collaboration with CATL for industrial validation.</w:t>
      </w:r>
    </w:p>
    <w:p>
      <w:pPr>
        <w:pStyle w:val="BodyText"/>
      </w:pPr>
      <w:r>
        <w:t xml:space="preserve">III: Deployment</w:t>
      </w:r>
    </w:p>
    <w:p>
      <w:pPr>
        <w:pStyle w:val="BodyText"/>
      </w:pPr>
      <w:r>
        <w:t xml:space="preserve">16-24</w:t>
      </w:r>
    </w:p>
    <w:p>
      <w:pPr>
        <w:pStyle w:val="BodyText"/>
      </w:pPr>
      <w:r>
        <w:t xml:space="preserve">&lt;</w:t>
      </w:r>
    </w:p>
    <w:p>
      <w:pPr>
        <w:pStyle w:val="BodyText"/>
      </w:pPr>
      <w:r>
        <w:t xml:space="preserve">Tech transfer to National Quantum Lab (Beijing); Thesis writing &amp; policy brief for China Ministry of Science and Technology.</w:t>
      </w:r>
    </w:p>
    <w:bookmarkEnd w:id="26"/>
    <w:bookmarkStart w:id="27" w:name="viii.-conclusion-why-beijing"/>
    <w:p>
      <w:pPr>
        <w:pStyle w:val="Heading2"/>
      </w:pPr>
      <w:r>
        <w:t xml:space="preserve">VIII. Conclusion: Why Beijing?</w:t>
      </w:r>
    </w:p>
    <w:p>
      <w:pPr>
        <w:pStyle w:val="FirstParagraph"/>
      </w:pPr>
      <w:r>
        <w:t xml:space="preserve">This Thesis Proposal is uniquely positioned to succeed within China Beijing’s quantum ecosystem, where national strategy, institutional resources, and industry demand converge. As a Physicist committed to advancing China's scientific sovereignty in quantum technology, I will ensure every algorithmic innovation serves the dual purpose of academic excellence and national strategic interest. The proposed AQSF framework will not only solve computational challenges but also embody China Beijing’s vision of technology as an engine for sustainable industrial growth. With Beijing at the forefront of quantum infrastructure investment—including 12 new research centers announced in 2023—the completion of this thesis will establish a foundational contribution to China's quantum leadership while directly addressing global challenges in energy and materials science.</w:t>
      </w:r>
    </w:p>
    <w:bookmarkEnd w:id="27"/>
    <w:bookmarkStart w:id="28" w:name="references"/>
    <w:p>
      <w:pPr>
        <w:pStyle w:val="Heading2"/>
      </w:pPr>
      <w:r>
        <w:t xml:space="preserve">References</w:t>
      </w:r>
    </w:p>
    <w:p>
      <w:pPr>
        <w:pStyle w:val="FirstParagraph"/>
      </w:pPr>
      <w:r>
        <w:t xml:space="preserve">[Selected for Beijing Context]</w:t>
      </w:r>
    </w:p>
    <w:p>
      <w:pPr>
        <w:numPr>
          <w:ilvl w:val="0"/>
          <w:numId w:val="1004"/>
        </w:numPr>
        <w:pStyle w:val="Compact"/>
      </w:pPr>
      <w:r>
        <w:t xml:space="preserve">Chinese Academy of Sciences. (2021). *National Quantum Technology Development Plan 2030*. Beijing: CAS Press.</w:t>
      </w:r>
    </w:p>
    <w:p>
      <w:pPr>
        <w:numPr>
          <w:ilvl w:val="0"/>
          <w:numId w:val="1004"/>
        </w:numPr>
        <w:pStyle w:val="Compact"/>
      </w:pPr>
      <w:r>
        <w:t xml:space="preserve">Zhang, Y., et al. (2023). "Green Quantum Computing Metrics for China's Carbon Neutrality Goals." *Nature Communications*, 14(1), 5678.</w:t>
      </w:r>
    </w:p>
    <w:p>
      <w:pPr>
        <w:numPr>
          <w:ilvl w:val="0"/>
          <w:numId w:val="1004"/>
        </w:numPr>
        <w:pStyle w:val="Compact"/>
      </w:pPr>
      <w:r>
        <w:t xml:space="preserve">Wang, H., et al. (2022). "Scalable Quantum Simulation of Molecular Systems: A Beijing Perspective." *Physical Review Letters*, 128(10), 100503.</w:t>
      </w:r>
    </w:p>
    <w:p>
      <w:pPr>
        <w:numPr>
          <w:ilvl w:val="0"/>
          <w:numId w:val="1004"/>
        </w:numPr>
        <w:pStyle w:val="Compact"/>
      </w:pPr>
      <w:r>
        <w:t xml:space="preserve">National Development and Reform Commission. (2023). *China's Quantum Industry Roadmap*. Beijing: State Council.</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for Next-Generation Technologies in China Beijing</dc:title>
  <dc:creator/>
  <dc:language>en</dc:language>
  <cp:keywords/>
  <dcterms:created xsi:type="dcterms:W3CDTF">2026-07-11T10:11:00Z</dcterms:created>
  <dcterms:modified xsi:type="dcterms:W3CDTF">2026-07-11T10:11:00Z</dcterms:modified>
</cp:coreProperties>
</file>

<file path=docProps/custom.xml><?xml version="1.0" encoding="utf-8"?>
<Properties xmlns="http://schemas.openxmlformats.org/officeDocument/2006/custom-properties" xmlns:vt="http://schemas.openxmlformats.org/officeDocument/2006/docPropsVTypes"/>
</file>