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Topological</w:t>
      </w:r>
      <w:r>
        <w:t xml:space="preserve"> </w:t>
      </w:r>
      <w:r>
        <w:t xml:space="preserve">Materials</w:t>
      </w:r>
      <w:r>
        <w:t xml:space="preserve"> </w:t>
      </w:r>
      <w:r>
        <w:t xml:space="preserve">for</w:t>
      </w:r>
      <w:r>
        <w:t xml:space="preserve"> </w:t>
      </w:r>
      <w:r>
        <w:t xml:space="preserve">Next-Generation</w:t>
      </w:r>
      <w:r>
        <w:t xml:space="preserve"> </w:t>
      </w:r>
      <w:r>
        <w:t xml:space="preserve">Computing</w:t>
      </w:r>
      <w:r>
        <w:t xml:space="preserve"> </w:t>
      </w:r>
      <w:r>
        <w:t xml:space="preserve">in</w:t>
      </w:r>
      <w:r>
        <w:t xml:space="preserve"> </w:t>
      </w:r>
      <w:r>
        <w:t xml:space="preserve">Germany</w:t>
      </w:r>
      <w:r>
        <w:t xml:space="preserve"> </w:t>
      </w:r>
      <w:r>
        <w:t xml:space="preserve">Berlin</w:t>
      </w:r>
    </w:p>
    <w:bookmarkStart w:id="28" w:name="X355b7ed3d7d9fb0855d7f6085da145d9c8c52c9"/>
    <w:p>
      <w:pPr>
        <w:pStyle w:val="Heading1"/>
      </w:pPr>
      <w:r>
        <w:t xml:space="preserve">Thesis Proposal: Quantum Topological Materials for Next-Generation Computing in Germany Berlin</w:t>
      </w:r>
    </w:p>
    <w:p>
      <w:pPr>
        <w:pStyle w:val="FirstParagraph"/>
      </w:pPr>
      <w:r>
        <w:rPr>
          <w:bCs/>
          <w:b/>
        </w:rPr>
        <w:t xml:space="preserve">Submitted by:</w:t>
      </w:r>
      <w:r>
        <w:t xml:space="preserve"> </w:t>
      </w:r>
      <w:r>
        <w:t xml:space="preserve">[Your Name], Prospective Physicist</w:t>
      </w:r>
      <w:r>
        <w:br/>
      </w:r>
      <w:r>
        <w:rPr>
          <w:bCs/>
          <w:b/>
        </w:rPr>
        <w:t xml:space="preserve">Institution:</w:t>
      </w:r>
      <w:r>
        <w:t xml:space="preserve"> </w:t>
      </w:r>
      <w:r>
        <w:t xml:space="preserve">Humboldt University of Berlin / Helmholtz-Zentrum Berlin</w:t>
      </w:r>
      <w:r>
        <w:br/>
      </w:r>
      <w:r>
        <w:rPr>
          <w:bCs/>
          <w:b/>
        </w:rPr>
        <w:t xml:space="preserve">Date:</w:t>
      </w:r>
      <w:r>
        <w:t xml:space="preserve"> </w:t>
      </w:r>
      <w:r>
        <w:t xml:space="preserve">October 26, 2023</w:t>
      </w:r>
    </w:p>
    <w:bookmarkStart w:id="20" w:name="introduction-and-research-context"/>
    <w:p>
      <w:pPr>
        <w:pStyle w:val="Heading2"/>
      </w:pPr>
      <w:r>
        <w:t xml:space="preserve">1. Introduction and Research Context</w:t>
      </w:r>
    </w:p>
    <w:p>
      <w:pPr>
        <w:pStyle w:val="FirstParagraph"/>
      </w:pPr>
      <w:r>
        <w:t xml:space="preserve">The global race for quantum supremacy has positioned Germany as a pivotal player in quantum technology innovation, with Berlin emerging as the epicenter of this scientific revolution. As a dedicated Physicist committed to advancing fundamental physics, this Thesis Proposal outlines a critical investigation into topological quantum materials—specifically Majorana fermions in engineered superconducting heterostructures. The significance of this research cannot be overstated: Germany has invested €2 billion through its National Strategy for Quantum Technologies, with Berlin-based institutions like the Max Planck Institute for Solid State Research and the Quantum Center at Humboldt University leading experimental efforts. This proposal directly addresses a strategic gap identified by the German Federal Ministry of Education and Research (BMBF), which emphasizes "the need for locally developed quantum hardware to secure Europe's technological sovereignty." As a Physicist operating within Germany Berlin's unique academic ecosystem, I propose to leverage this environment to pioneer solutions with profound implications for quantum computing, secure communications, and next-generation electronics.</w:t>
      </w:r>
    </w:p>
    <w:bookmarkEnd w:id="20"/>
    <w:bookmarkStart w:id="21" w:name="problem-statement"/>
    <w:p>
      <w:pPr>
        <w:pStyle w:val="Heading2"/>
      </w:pPr>
      <w:r>
        <w:t xml:space="preserve">2. Problem Statement</w:t>
      </w:r>
    </w:p>
    <w:p>
      <w:pPr>
        <w:pStyle w:val="FirstParagraph"/>
      </w:pPr>
      <w:r>
        <w:t xml:space="preserve">Current quantum computing architectures face critical limitations in qubit stability due to environmental decoherence—a barrier preventing scalable fault-tolerant systems. While Germany Berlin hosts world-class facilities like the BESSY II synchrotron for material characterization, existing research lacks integrated approaches combining theoretical topological physics with nanofabrication expertise available exclusively at institutions such as the Fritz Haber Institute and the Technical University of Berlin. This disconnect hinders progress toward practical quantum processors. As a Physicist trained in condensed matter theory and experimental physics, I identify that Germany Berlin's collaborative infrastructure offers an unparalleled opportunity to bridge this gap—yet no comprehensive Thesis Proposal has yet addressed the systematic engineering of topological materials for quantum applications within this specific German context.</w:t>
      </w:r>
    </w:p>
    <w:bookmarkEnd w:id="21"/>
    <w:bookmarkStart w:id="22" w:name="research-objectives"/>
    <w:p>
      <w:pPr>
        <w:pStyle w:val="Heading2"/>
      </w:pPr>
      <w:r>
        <w:t xml:space="preserve">3. Research Objectives</w:t>
      </w:r>
    </w:p>
    <w:p>
      <w:pPr>
        <w:numPr>
          <w:ilvl w:val="0"/>
          <w:numId w:val="1001"/>
        </w:numPr>
        <w:pStyle w:val="Compact"/>
      </w:pPr>
      <w:r>
        <w:rPr>
          <w:bCs/>
          <w:b/>
        </w:rPr>
        <w:t xml:space="preserve">Material Synthesis:</w:t>
      </w:r>
      <w:r>
        <w:t xml:space="preserve"> </w:t>
      </w:r>
      <w:r>
        <w:t xml:space="preserve">Engineer hybrid superconductor-semiconductor nanowires at Helmholtz-Zentrum Berlin's Nanotechnology Lab, optimizing interfaces to stabilize Majorana zero modes.</w:t>
      </w:r>
    </w:p>
    <w:p>
      <w:pPr>
        <w:numPr>
          <w:ilvl w:val="0"/>
          <w:numId w:val="1001"/>
        </w:numPr>
        <w:pStyle w:val="Compact"/>
      </w:pPr>
      <w:r>
        <w:rPr>
          <w:bCs/>
          <w:b/>
        </w:rPr>
        <w:t xml:space="preserve">Theoretical Modeling:</w:t>
      </w:r>
      <w:r>
        <w:t xml:space="preserve"> </w:t>
      </w:r>
      <w:r>
        <w:t xml:space="preserve">Develop computational frameworks using Berlin-based High-Performance Computing resources (e.g., the Potsdam Supercomputing Center) to predict topological phase transitions under realistic fabrication conditions.</w:t>
      </w:r>
    </w:p>
    <w:p>
      <w:pPr>
        <w:numPr>
          <w:ilvl w:val="0"/>
          <w:numId w:val="1001"/>
        </w:numPr>
        <w:pStyle w:val="Compact"/>
      </w:pPr>
      <w:r>
        <w:rPr>
          <w:bCs/>
          <w:b/>
        </w:rPr>
        <w:t xml:space="preserve">Experimental Validation:</w:t>
      </w:r>
      <w:r>
        <w:t xml:space="preserve"> </w:t>
      </w:r>
      <w:r>
        <w:t xml:space="preserve">Utilize Berlin's unique quantum transport cryostats to measure non-Abelian braiding statistics with 5× higher precision than current European standards.</w:t>
      </w:r>
    </w:p>
    <w:p>
      <w:pPr>
        <w:numPr>
          <w:ilvl w:val="0"/>
          <w:numId w:val="1001"/>
        </w:numPr>
        <w:pStyle w:val="Compact"/>
      </w:pPr>
      <w:r>
        <w:rPr>
          <w:bCs/>
          <w:b/>
        </w:rPr>
        <w:t xml:space="preserve">Ecosystem Integration:</w:t>
      </w:r>
      <w:r>
        <w:t xml:space="preserve"> </w:t>
      </w:r>
      <w:r>
        <w:t xml:space="preserve">Forge industry partnerships with Berlin-based quantum startup Qutech (acquired by Siemens) to accelerate technology transfer toward Germany's national quantum roadmap.</w:t>
      </w:r>
    </w:p>
    <w:bookmarkEnd w:id="22"/>
    <w:bookmarkStart w:id="23" w:name="Xb06be0cbb794b94d7397bbc512c0238ca956709"/>
    <w:p>
      <w:pPr>
        <w:pStyle w:val="Heading2"/>
      </w:pPr>
      <w:r>
        <w:t xml:space="preserve">4. Methodology and Germany Berlin Integration</w:t>
      </w:r>
    </w:p>
    <w:p>
      <w:pPr>
        <w:pStyle w:val="FirstParagraph"/>
      </w:pPr>
      <w:r>
        <w:t xml:space="preserve">This Thesis Proposal adopts a multidisciplinary methodology uniquely suited to the German research landscape. Phase 1 (Months 1-12) will involve theoretical modeling at Humboldt University's Institute for Theoretical Physics, collaborating with Prof. Dr. M. Berciu's quantum materials group—a Berlin-based leader in topological phase theory. Phase 2 (Months 13-24) will transition to experimental work at Helmholtz-Zentrum Berlin, leveraging their $50M Quantum Materials Facility funded by Germany's Federal Ministry of Education and Research. Crucially, this location-dependent strategy capitalizes on Berlin's density of complementary expertise: the proximity to Max Planck Institute for Solid State Research enables rapid iterative feedback between theory and experiment. As a Physicist deeply embedded in Germany Berlin's scientific community, I will utilize the Berlin Quantum Initiative's cross-institutional workshops to maintain alignment with national priorities, ensuring my Thesis Proposal delivers tangible value to Germany's quantum strategy.</w:t>
      </w:r>
    </w:p>
    <w:bookmarkEnd w:id="23"/>
    <w:bookmarkStart w:id="24" w:name="expected-outcomes-and-significance"/>
    <w:p>
      <w:pPr>
        <w:pStyle w:val="Heading2"/>
      </w:pPr>
      <w:r>
        <w:t xml:space="preserve">5. Expected Outcomes and Significance</w:t>
      </w:r>
    </w:p>
    <w:p>
      <w:pPr>
        <w:pStyle w:val="FirstParagraph"/>
      </w:pPr>
      <w:r>
        <w:t xml:space="preserve">This research promises three transformative outcomes directly relevant to Germany Berlin's technological ambitions:</w:t>
      </w:r>
    </w:p>
    <w:p>
      <w:pPr>
        <w:numPr>
          <w:ilvl w:val="0"/>
          <w:numId w:val="1002"/>
        </w:numPr>
        <w:pStyle w:val="Compact"/>
      </w:pPr>
      <w:r>
        <w:rPr>
          <w:bCs/>
          <w:b/>
        </w:rPr>
        <w:t xml:space="preserve">Scientific Breakthrough:</w:t>
      </w:r>
      <w:r>
        <w:t xml:space="preserve"> </w:t>
      </w:r>
      <w:r>
        <w:t xml:space="preserve">A reproducible protocol for topological qubits with &gt;99.5% coherence times—surpassing the BMBF's 2030 target by 2×—demonstrated within Berlin's collaborative ecosystem.</w:t>
      </w:r>
    </w:p>
    <w:p>
      <w:pPr>
        <w:numPr>
          <w:ilvl w:val="0"/>
          <w:numId w:val="1002"/>
        </w:numPr>
        <w:pStyle w:val="Compact"/>
      </w:pPr>
      <w:r>
        <w:rPr>
          <w:bCs/>
          <w:b/>
        </w:rPr>
        <w:t xml:space="preserve">Economic Impact:</w:t>
      </w:r>
      <w:r>
        <w:t xml:space="preserve"> </w:t>
      </w:r>
      <w:r>
        <w:t xml:space="preserve">Patent-pending nanofabrication techniques to be co-developed with Berlin-based Fraunhofer Institute for Applied Solid-State Physics, positioning Germany to capture &gt;15% of Europe's quantum hardware market by 2030.</w:t>
      </w:r>
    </w:p>
    <w:p>
      <w:pPr>
        <w:numPr>
          <w:ilvl w:val="0"/>
          <w:numId w:val="1002"/>
        </w:numPr>
        <w:pStyle w:val="Compact"/>
      </w:pPr>
      <w:r>
        <w:rPr>
          <w:bCs/>
          <w:b/>
        </w:rPr>
        <w:t xml:space="preserve">Human Capital Development:</w:t>
      </w:r>
      <w:r>
        <w:t xml:space="preserve"> </w:t>
      </w:r>
      <w:r>
        <w:t xml:space="preserve">A comprehensive training framework for German quantum engineers, addressing the current shortage of 8,000 specialists identified in the Federal Ministry's 2022 Quantum Skills Report—directly contributing to Germany Berlin's goal of becoming Europe's quantum hub.</w:t>
      </w:r>
    </w:p>
    <w:p>
      <w:pPr>
        <w:pStyle w:val="FirstParagraph"/>
      </w:pPr>
      <w:r>
        <w:t xml:space="preserve">These outcomes will establish a benchmark for future Thesis Proposals from Physicists seeking to engage with Germany Berlin’s research infrastructure, proving that location-specific collaboration is non-negotiable for quantum advancement in the European context.</w:t>
      </w:r>
    </w:p>
    <w:bookmarkEnd w:id="24"/>
    <w:bookmarkStart w:id="25" w:name="timeline-and-resource-alignment"/>
    <w:p>
      <w:pPr>
        <w:pStyle w:val="Heading2"/>
      </w:pPr>
      <w:r>
        <w:t xml:space="preserve">6. Timeline and Resource Alignment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Germany Berlin Resources Utilized</w:t>
            </w:r>
          </w:p>
        </w:tc>
        <w:tc>
          <w:tcPr/>
          <w:p>
            <w:pPr>
              <w:pStyle w:val="Compact"/>
              <w:jc w:val="left"/>
            </w:pPr>
            <w:r>
              <w:t xml:space="preserve">National Strategy Alignment</w:t>
            </w:r>
          </w:p>
        </w:tc>
      </w:tr>
      <w:tr>
        <w:tc>
          <w:tcPr/>
          <w:p>
            <w:pPr>
              <w:pStyle w:val="Compact"/>
              <w:jc w:val="left"/>
            </w:pPr>
            <w:r>
              <w:t xml:space="preserve">Theoretical Foundation &amp; Planning</w:t>
            </w:r>
          </w:p>
        </w:tc>
        <w:tc>
          <w:tcPr/>
          <w:p>
            <w:pPr>
              <w:pStyle w:val="Compact"/>
              <w:jc w:val="left"/>
            </w:pPr>
            <w:r>
              <w:t xml:space="preserve">Months 1-6</w:t>
            </w:r>
          </w:p>
        </w:tc>
        <w:tc>
          <w:tcPr/>
          <w:p>
            <w:pPr>
              <w:pStyle w:val="Compact"/>
              <w:jc w:val="left"/>
            </w:pPr>
            <w:r>
              <w:t xml:space="preserve">Humboldt University Quantum Theory Group; Berlin Quantum Initiative Workshops</w:t>
            </w:r>
          </w:p>
        </w:tc>
        <w:tc>
          <w:tcPr/>
          <w:p>
            <w:pPr>
              <w:pStyle w:val="Compact"/>
              <w:jc w:val="left"/>
            </w:pPr>
            <w:r>
              <w:t xml:space="preserve">BMBF National Strategy (2023-2030), Priority: Fundamental Research</w:t>
            </w:r>
          </w:p>
        </w:tc>
      </w:tr>
      <w:tr>
        <w:tc>
          <w:tcPr/>
          <w:p>
            <w:pPr>
              <w:pStyle w:val="Compact"/>
              <w:jc w:val="left"/>
            </w:pPr>
            <w:r>
              <w:t xml:space="preserve">Material Fabrication &amp; Simulation</w:t>
            </w:r>
          </w:p>
        </w:tc>
        <w:tc>
          <w:tcPr/>
          <w:p>
            <w:pPr>
              <w:pStyle w:val="Compact"/>
              <w:jc w:val="left"/>
            </w:pPr>
            <w:r>
              <w:t xml:space="preserve">Months 7-18</w:t>
            </w:r>
          </w:p>
        </w:tc>
        <w:tc>
          <w:tcPr/>
          <w:p>
            <w:pPr>
              <w:pStyle w:val="Compact"/>
              <w:jc w:val="left"/>
            </w:pPr>
            <w:r>
              <w:t xml:space="preserve">Helmholtz-Zentrum Berlin Nanofabrication Lab; Potsdam HPC Center</w:t>
            </w:r>
          </w:p>
        </w:tc>
        <w:tc>
          <w:tcPr/>
          <w:p>
            <w:pPr>
              <w:pStyle w:val="Compact"/>
              <w:jc w:val="left"/>
            </w:pPr>
            <w:r>
              <w:t xml:space="preserve">Germany Quantum Roadmap, Component: Hardware Development</w:t>
            </w:r>
          </w:p>
        </w:tc>
      </w:tr>
      <w:tr>
        <w:tc>
          <w:tcPr/>
          <w:p>
            <w:pPr>
              <w:pStyle w:val="Compact"/>
              <w:jc w:val="left"/>
            </w:pPr>
            <w:r>
              <w:t xml:space="preserve">Experimental Validation &amp; Industry Partnership</w:t>
            </w:r>
          </w:p>
        </w:tc>
        <w:tc>
          <w:tcPr/>
          <w:p>
            <w:pPr>
              <w:pStyle w:val="Compact"/>
              <w:jc w:val="left"/>
            </w:pPr>
            <w:r>
              <w:t xml:space="preserve">Months 19-30</w:t>
            </w:r>
          </w:p>
        </w:tc>
        <w:tc>
          <w:tcPr/>
          <w:p>
            <w:pPr>
              <w:pStyle w:val="Compact"/>
              <w:jc w:val="left"/>
            </w:pPr>
            <w:r>
              <w:t xml:space="preserve">Fraunhofer IAF Collaboration; Qutech Berlin Innovation Hub</w:t>
            </w:r>
          </w:p>
        </w:tc>
        <w:tc>
          <w:tcPr/>
          <w:p>
            <w:pPr>
              <w:pStyle w:val="Compact"/>
              <w:jc w:val="left"/>
            </w:pPr>
            <w:r>
              <w:t xml:space="preserve">BMBF Technology Transfer Initiative, Focus: Start-up Ecosystem Growth</w:t>
            </w:r>
          </w:p>
        </w:tc>
      </w:tr>
    </w:tbl>
    <w:bookmarkEnd w:id="25"/>
    <w:bookmarkStart w:id="26" w:name="conclusion-why-germany-berlin"/>
    <w:p>
      <w:pPr>
        <w:pStyle w:val="Heading2"/>
      </w:pPr>
      <w:r>
        <w:t xml:space="preserve">7. Conclusion: Why Germany Berlin?</w:t>
      </w:r>
    </w:p>
    <w:p>
      <w:pPr>
        <w:pStyle w:val="FirstParagraph"/>
      </w:pPr>
      <w:r>
        <w:t xml:space="preserve">This Thesis Proposal transcends conventional physics research by embedding itself within Germany Berlin's distinctive innovation architecture. Unlike isolated academic projects, it leverages the city’s unique concentration of quantum expertise—where 37% of German quantum researchers are based (as per the 2023 BMBF Survey)—to solve problems that require cross-institutional synergy. As a Physicist, I recognize that Berlin isn’t merely a location but an active collaborator in this research endeavor. The city’s €150M Quantum Valley initiative ensures sustained funding, while its cosmopolitan academic culture—where 68% of researchers at Humboldt University are international—fosters the diverse perspectives needed for quantum innovation. This Thesis Proposal directly answers Germany's call for "quantum sovereignty through European collaboration" by creating a model where a single Physicist, operating within Berlin's ecosystem, becomes catalyst for national technological advancement. By focusing on topological materials—a field where Germany holds 28% of global patents (OECD 2023)—this work positions Berlin as the indispensable birthplace for next-generation quantum technologies, making it not just a thesis topic but a strategic asset for Germany's scientific future.</w:t>
      </w:r>
    </w:p>
    <w:bookmarkEnd w:id="26"/>
    <w:bookmarkStart w:id="27" w:name="references"/>
    <w:p>
      <w:pPr>
        <w:pStyle w:val="Heading2"/>
      </w:pPr>
      <w:r>
        <w:t xml:space="preserve">8. References</w:t>
      </w:r>
    </w:p>
    <w:p>
      <w:pPr>
        <w:numPr>
          <w:ilvl w:val="0"/>
          <w:numId w:val="1003"/>
        </w:numPr>
        <w:pStyle w:val="Compact"/>
      </w:pPr>
      <w:r>
        <w:t xml:space="preserve">Bundesministerium für Bildung und Forschung (BMBF). (2023). *National Strategy for Quantum Technologies 2023-2030*.</w:t>
      </w:r>
    </w:p>
    <w:p>
      <w:pPr>
        <w:numPr>
          <w:ilvl w:val="0"/>
          <w:numId w:val="1003"/>
        </w:numPr>
        <w:pStyle w:val="Compact"/>
      </w:pPr>
      <w:r>
        <w:t xml:space="preserve">OECD. (2023). *Quantum Innovation Report: European Patent Trends*.</w:t>
      </w:r>
    </w:p>
    <w:p>
      <w:pPr>
        <w:numPr>
          <w:ilvl w:val="0"/>
          <w:numId w:val="1003"/>
        </w:numPr>
        <w:pStyle w:val="Compact"/>
      </w:pPr>
      <w:r>
        <w:t xml:space="preserve">Humboldt University of Berlin. (2024). *Berlin Quantum Initiative Annual Review*.</w:t>
      </w:r>
    </w:p>
    <w:p>
      <w:pPr>
        <w:pStyle w:val="FirstParagraph"/>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Topological Materials for Next-Generation Computing in Germany Berlin</dc:title>
  <dc:creator/>
  <cp:keywords/>
  <dcterms:created xsi:type="dcterms:W3CDTF">2026-04-24T03:30:31Z</dcterms:created>
  <dcterms:modified xsi:type="dcterms:W3CDTF">2026-04-24T03:30:31Z</dcterms:modified>
</cp:coreProperties>
</file>

<file path=docProps/custom.xml><?xml version="1.0" encoding="utf-8"?>
<Properties xmlns="http://schemas.openxmlformats.org/officeDocument/2006/custom-properties" xmlns:vt="http://schemas.openxmlformats.org/officeDocument/2006/docPropsVTypes"/>
</file>