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Interfaces</w:t>
      </w:r>
      <w:r>
        <w:t xml:space="preserve"> </w:t>
      </w:r>
      <w:r>
        <w:t xml:space="preserve">for</w:t>
      </w:r>
      <w:r>
        <w:t xml:space="preserve"> </w:t>
      </w:r>
      <w:r>
        <w:t xml:space="preserve">Sustainable</w:t>
      </w:r>
      <w:r>
        <w:t xml:space="preserve"> </w:t>
      </w:r>
      <w:r>
        <w:t xml:space="preserve">Energy</w:t>
      </w:r>
      <w:r>
        <w:t xml:space="preserve"> </w:t>
      </w:r>
      <w:r>
        <w:t xml:space="preserve">Systems</w:t>
      </w:r>
    </w:p>
    <w:bookmarkStart w:id="32" w:name="Xa1947e4db3424945dd6a7ebed3d13d838d0d630"/>
    <w:p>
      <w:pPr>
        <w:pStyle w:val="Heading1"/>
      </w:pPr>
      <w:r>
        <w:t xml:space="preserve">Thesis Proposal: Quantum Computing Interfaces for Sustainable Energy Systems in Germany Frankfurt</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Goethe University Frankfurt am Main, Institute of Physics</w:t>
      </w:r>
    </w:p>
    <w:p>
      <w:pPr>
        <w:pStyle w:val="BodyText"/>
      </w:pPr>
      <w:r>
        <w:rPr>
          <w:bCs/>
          <w:b/>
        </w:rPr>
        <w:t xml:space="preserve">Date:</w:t>
      </w:r>
      <w:r>
        <w:t xml:space="preserve"> </w:t>
      </w:r>
      <w:r>
        <w:t xml:space="preserve">October 26, 2023</w:t>
      </w:r>
    </w:p>
    <w:bookmarkStart w:id="20" w:name="X1264ebae35155052c8853a607e236fac6ee5264"/>
    <w:p>
      <w:pPr>
        <w:pStyle w:val="Heading2"/>
      </w:pPr>
      <w:r>
        <w:t xml:space="preserve">I. Introduction: The Imperative for a Modern Physicist in Germany Frankfurt</w:t>
      </w:r>
    </w:p>
    <w:p>
      <w:pPr>
        <w:pStyle w:val="FirstParagraph"/>
      </w:pPr>
      <w:r>
        <w:t xml:space="preserve">The global energy transition demands revolutionary solutions beyond classical computational limits. As an aspiring physicist in Germany, I recognize Frankfurt’s unique position as Europe’s financial hub and a nexus of scientific innovation. The Goethe University Frankfurt am Main—home to the Center for Computational Sciences (CCS) and collaborations with the Max Planck Institute for Brain Research—provides an unparalleled ecosystem where theoretical physics meets real-world sustainability challenges. This thesis proposal outlines a research pathway to develop quantum-inspired computational interfaces, directly addressing Germany’s national goals outlined in its</w:t>
      </w:r>
      <w:r>
        <w:t xml:space="preserve"> </w:t>
      </w:r>
      <w:r>
        <w:rPr>
          <w:iCs/>
          <w:i/>
        </w:rPr>
        <w:t xml:space="preserve">Energy Concept 2030</w:t>
      </w:r>
      <w:r>
        <w:t xml:space="preserve">. For a physicist in Germany Frankfurt, this work bridges fundamental quantum mechanics with urgent climate action, positioning Frankfurt as a leader in the European quantum technology landscape.</w:t>
      </w:r>
    </w:p>
    <w:bookmarkEnd w:id="20"/>
    <w:bookmarkStart w:id="21" w:name="X60d99c42218bce0f73af4211220cdd2dce0c444"/>
    <w:p>
      <w:pPr>
        <w:pStyle w:val="Heading2"/>
      </w:pPr>
      <w:r>
        <w:t xml:space="preserve">II. Research Background and Problem Statement</w:t>
      </w:r>
    </w:p>
    <w:p>
      <w:pPr>
        <w:pStyle w:val="FirstParagraph"/>
      </w:pPr>
      <w:r>
        <w:t xml:space="preserve">Current energy grid optimization relies on classical algorithms that struggle with the exponential complexity of renewable integration (e.g., wind/solar volatility matching demand). Germany’s target of 80% renewable energy by 2030 requires computational frameworks capable of handling multi-variable optimization at unprecedented scales. While quantum computing promises exponential speedups, existing hardware limitations and software gaps prevent practical deployment. Crucially, no established methodology exists for integrating quantum-inspired algorithms into Frankfurt’s real-time grid management systems—despite the city hosting the</w:t>
      </w:r>
      <w:r>
        <w:t xml:space="preserve"> </w:t>
      </w:r>
      <w:r>
        <w:rPr>
          <w:iCs/>
          <w:i/>
        </w:rPr>
        <w:t xml:space="preserve">Frankfurt Energy Research Center</w:t>
      </w:r>
      <w:r>
        <w:t xml:space="preserve">. As a physicist in Germany Frankfurt, I must resolve this disconnect between theoretical quantum advancements and operational energy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hybrid quantum-classical algorithm for optimizing decentralized energy distribution networks (targeting Frankfurt’s urban grid as a case study).</w:t>
      </w:r>
    </w:p>
    <w:p>
      <w:pPr>
        <w:numPr>
          <w:ilvl w:val="0"/>
          <w:numId w:val="1001"/>
        </w:numPr>
        <w:pStyle w:val="Compact"/>
      </w:pPr>
      <w:r>
        <w:rPr>
          <w:bCs/>
          <w:b/>
        </w:rPr>
        <w:t xml:space="preserve">Analyze:</w:t>
      </w:r>
      <w:r>
        <w:t xml:space="preserve"> </w:t>
      </w:r>
      <w:r>
        <w:t xml:space="preserve">The energy efficiency trade-offs between quantum circuit complexity and classical computational overhead in real-world hardware (using Frankfurt-based resources like the University’s</w:t>
      </w:r>
      <w:r>
        <w:t xml:space="preserve"> </w:t>
      </w:r>
      <w:r>
        <w:rPr>
          <w:iCs/>
          <w:i/>
        </w:rPr>
        <w:t xml:space="preserve">HPC Cluster</w:t>
      </w:r>
      <w:r>
        <w:t xml:space="preserve">).</w:t>
      </w:r>
    </w:p>
    <w:p>
      <w:pPr>
        <w:numPr>
          <w:ilvl w:val="0"/>
          <w:numId w:val="1001"/>
        </w:numPr>
        <w:pStyle w:val="Compact"/>
      </w:pPr>
      <w:r>
        <w:rPr>
          <w:bCs/>
          <w:b/>
        </w:rPr>
        <w:t xml:space="preserve">Create:</w:t>
      </w:r>
      <w:r>
        <w:t xml:space="preserve"> </w:t>
      </w:r>
      <w:r>
        <w:t xml:space="preserve">A framework for translating quantum outputs into actionable grid control protocols, validated through collaboration with E.ON Frankfurt.</w:t>
      </w:r>
    </w:p>
    <w:bookmarkEnd w:id="22"/>
    <w:bookmarkStart w:id="26" w:name="Xd6d5aefd8e294c9f5e705ca502be7a3a2b1d345"/>
    <w:p>
      <w:pPr>
        <w:pStyle w:val="Heading2"/>
      </w:pPr>
      <w:r>
        <w:t xml:space="preserve">IV. Methodology: Integrating Frankfurt’s Research Ecosystem</w:t>
      </w:r>
    </w:p>
    <w:p>
      <w:pPr>
        <w:pStyle w:val="FirstParagraph"/>
      </w:pPr>
      <w:r>
        <w:t xml:space="preserve">This thesis leverages Germany’s collaborative research infrastructure to ensure academic rigor and industrial relevance. The methodology comprises three phases:</w:t>
      </w:r>
    </w:p>
    <w:bookmarkStart w:id="23" w:name="X94e0ea617042064628aec6ad212328d723ce110"/>
    <w:p>
      <w:pPr>
        <w:pStyle w:val="Heading3"/>
      </w:pPr>
      <w:r>
        <w:t xml:space="preserve">Phase 1: Quantum Algorithm Design (Months 1–6)</w:t>
      </w:r>
    </w:p>
    <w:p>
      <w:pPr>
        <w:numPr>
          <w:ilvl w:val="0"/>
          <w:numId w:val="1002"/>
        </w:numPr>
        <w:pStyle w:val="Compact"/>
      </w:pPr>
      <w:r>
        <w:t xml:space="preserve">Utilize IBM Quantum Experience and Frankfurt’s CCS resources to simulate quantum annealing for energy routing.</w:t>
      </w:r>
    </w:p>
    <w:p>
      <w:pPr>
        <w:numPr>
          <w:ilvl w:val="0"/>
          <w:numId w:val="1002"/>
        </w:numPr>
        <w:pStyle w:val="Compact"/>
      </w:pPr>
      <w:r>
        <w:t xml:space="preserve">Collaborate with Prof. Dr. Anna Müller (Quantum Materials Group, Goethe University) to model material constraints in quantum hardware.</w:t>
      </w:r>
    </w:p>
    <w:bookmarkEnd w:id="23"/>
    <w:bookmarkStart w:id="24" w:name="X865a434162f2f0cc9173ce5ca279e03c6bd8b00"/>
    <w:p>
      <w:pPr>
        <w:pStyle w:val="Heading3"/>
      </w:pPr>
      <w:r>
        <w:t xml:space="preserve">Phase 2: Grid Integration Testing (Months 7–14)</w:t>
      </w:r>
    </w:p>
    <w:p>
      <w:pPr>
        <w:numPr>
          <w:ilvl w:val="0"/>
          <w:numId w:val="1003"/>
        </w:numPr>
        <w:pStyle w:val="Compact"/>
      </w:pPr>
      <w:r>
        <w:t xml:space="preserve">Partner with E.ON Frankfurt’s Smart Grid Lab to test algorithms against historical energy data from the Frankfurt metropolitan area.</w:t>
      </w:r>
    </w:p>
    <w:p>
      <w:pPr>
        <w:numPr>
          <w:ilvl w:val="0"/>
          <w:numId w:val="1003"/>
        </w:numPr>
        <w:pStyle w:val="Compact"/>
      </w:pPr>
      <w:r>
        <w:t xml:space="preserve">Measure performance metrics: computational time reduction, energy waste minimization, and hardware resource efficiency.</w:t>
      </w:r>
    </w:p>
    <w:bookmarkEnd w:id="24"/>
    <w:bookmarkStart w:id="25" w:name="X57dd5d6aef3a3d01d005d27ea355e4845f679bc"/>
    <w:p>
      <w:pPr>
        <w:pStyle w:val="Heading3"/>
      </w:pPr>
      <w:r>
        <w:t xml:space="preserve">Phase 3: Sustainable Implementation Framework (Months 15–24)</w:t>
      </w:r>
    </w:p>
    <w:p>
      <w:pPr>
        <w:numPr>
          <w:ilvl w:val="0"/>
          <w:numId w:val="1004"/>
        </w:numPr>
        <w:pStyle w:val="Compact"/>
      </w:pPr>
      <w:r>
        <w:t xml:space="preserve">Co-develop open-source software with the Frankfurt-based startup Quantum Energy Systems GmbH.</w:t>
      </w:r>
    </w:p>
    <w:p>
      <w:pPr>
        <w:numPr>
          <w:ilvl w:val="0"/>
          <w:numId w:val="1004"/>
        </w:numPr>
        <w:pStyle w:val="Compact"/>
      </w:pPr>
      <w:r>
        <w:t xml:space="preserve">Validate scalability for Germany’s national grid through integration with the German Federal Network Agency (Bundesnetzagentur) data sets.</w:t>
      </w:r>
    </w:p>
    <w:p>
      <w:pPr>
        <w:pStyle w:val="FirstParagraph"/>
      </w:pPr>
      <w:r>
        <w:t xml:space="preserve">This approach ensures the research directly contributes to Germany’s</w:t>
      </w:r>
      <w:r>
        <w:t xml:space="preserve"> </w:t>
      </w:r>
      <w:r>
        <w:rPr>
          <w:iCs/>
          <w:i/>
        </w:rPr>
        <w:t xml:space="preserve">National Strategy for Quantum Technologies</w:t>
      </w:r>
      <w:r>
        <w:t xml:space="preserve">, while positioning Frankfurt as a testbed for quantum applications in urban sustainability—a critical asset for any physicist seeking impact in Germany.</w:t>
      </w:r>
    </w:p>
    <w:bookmarkEnd w:id="25"/>
    <w:bookmarkEnd w:id="26"/>
    <w:bookmarkStart w:id="27" w:name="Xa97847bacabe8bdf598bfeb521985cb97007a2e"/>
    <w:p>
      <w:pPr>
        <w:pStyle w:val="Heading2"/>
      </w:pPr>
      <w:r>
        <w:t xml:space="preserve">V. Literature Review: Bridging Gaps in Current Physics Research</w:t>
      </w:r>
    </w:p>
    <w:p>
      <w:pPr>
        <w:pStyle w:val="FirstParagraph"/>
      </w:pPr>
      <w:r>
        <w:t xml:space="preserve">While quantum computing’s theoretical potential is well-documented (e.g., Farhi et al., 2014; Preskill, 2018), few studies address its application to energy systems at the scale required for German urban centers. Recent work by Schröder et al. (2021) in *Nature Energy* demonstrates quantum advantages in small-scale power grids but ignores hardware constraints relevant to Frankfurt’s infrastructure. Similarly, European initiatives like</w:t>
      </w:r>
      <w:r>
        <w:t xml:space="preserve"> </w:t>
      </w:r>
      <w:r>
        <w:rPr>
          <w:iCs/>
          <w:i/>
        </w:rPr>
        <w:t xml:space="preserve">Quantum Flagship</w:t>
      </w:r>
      <w:r>
        <w:t xml:space="preserve"> </w:t>
      </w:r>
      <w:r>
        <w:t xml:space="preserve">focus on hardware development without addressing integration with existing energy management systems. This thesis fills that gap by prioritizing</w:t>
      </w:r>
      <w:r>
        <w:t xml:space="preserve"> </w:t>
      </w:r>
      <w:r>
        <w:rPr>
          <w:iCs/>
          <w:i/>
        </w:rPr>
        <w:t xml:space="preserve">practical implementability</w:t>
      </w:r>
      <w:r>
        <w:t xml:space="preserve">, a necessity for a physicist operating in Germany where academic research must align with industrial and governmental priorities.</w:t>
      </w:r>
    </w:p>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outputs: (1) A benchmarked quantum-classical hybrid algorithm optimized for Frankfurt’s grid, (2) A sustainability impact report quantifying CO₂ reduction potential for German cities, and (3) An open-source toolkit enabling replication across Germany’s energy network. For a physicist in Germany Frankfurt, these outcomes advance two critical goals: accelerating the</w:t>
      </w:r>
      <w:r>
        <w:t xml:space="preserve"> </w:t>
      </w:r>
      <w:r>
        <w:rPr>
          <w:iCs/>
          <w:i/>
        </w:rPr>
        <w:t xml:space="preserve">German Energy Transition</w:t>
      </w:r>
      <w:r>
        <w:t xml:space="preserve"> </w:t>
      </w:r>
      <w:r>
        <w:t xml:space="preserve">and establishing Frankfurt as a quantum technology hub. Crucially, this work addresses the European Commission’s</w:t>
      </w:r>
      <w:r>
        <w:t xml:space="preserve"> </w:t>
      </w:r>
      <w:r>
        <w:rPr>
          <w:iCs/>
          <w:i/>
        </w:rPr>
        <w:t xml:space="preserve">Quantum Strategy 2030</w:t>
      </w:r>
      <w:r>
        <w:t xml:space="preserve">, which designates energy systems as a priority application area—a strategic alignment vital for securing future funding from sources like DFG (Deutsche Forschungsgemeinschaft).</w:t>
      </w:r>
    </w:p>
    <w:bookmarkEnd w:id="28"/>
    <w:bookmarkStart w:id="29" w:name="X0d0c7df9ca3e959333b7b0cc4b80dd0f07746f1"/>
    <w:p>
      <w:pPr>
        <w:pStyle w:val="Heading2"/>
      </w:pPr>
      <w:r>
        <w:t xml:space="preserve">VI. Timeline and Resource Alignment with Frankfurt</w:t>
      </w:r>
    </w:p>
    <w:p>
      <w:pPr>
        <w:pStyle w:val="FirstParagraph"/>
      </w:pPr>
      <w:r>
        <w:t xml:space="preserve">The 24-month timeline integrates seamlessly with Goethe University Frankfurt’s academic calendar and local industry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Frankfurt Resources Utilized</w:t>
            </w:r>
          </w:p>
        </w:tc>
      </w:tr>
      <w:tr>
        <w:tc>
          <w:tcPr/>
          <w:p>
            <w:pPr>
              <w:pStyle w:val="Compact"/>
              <w:jc w:val="left"/>
            </w:pPr>
            <w:r>
              <w:t xml:space="preserve">1–6</w:t>
            </w:r>
          </w:p>
        </w:tc>
        <w:tc>
          <w:tcPr/>
          <w:p>
            <w:pPr>
              <w:pStyle w:val="Compact"/>
              <w:jc w:val="left"/>
            </w:pPr>
            <w:r>
              <w:t xml:space="preserve">Algorithm design &amp; simulation; collaboration with CCS quantum lab.</w:t>
            </w:r>
          </w:p>
        </w:tc>
        <w:tc>
          <w:tcPr/>
          <w:p>
            <w:pPr>
              <w:pStyle w:val="Compact"/>
              <w:jc w:val="left"/>
            </w:pPr>
            <w:r>
              <w:t xml:space="preserve">Goethe University’s Quantum Computing Lab, HPC Cluster.</w:t>
            </w:r>
          </w:p>
        </w:tc>
      </w:tr>
      <w:tr>
        <w:tc>
          <w:tcPr/>
          <w:p>
            <w:pPr>
              <w:pStyle w:val="Compact"/>
              <w:jc w:val="left"/>
            </w:pPr>
            <w:r>
              <w:t xml:space="preserve">7–14</w:t>
            </w:r>
          </w:p>
        </w:tc>
        <w:tc>
          <w:tcPr/>
          <w:p>
            <w:pPr>
              <w:pStyle w:val="Compact"/>
              <w:jc w:val="left"/>
            </w:pPr>
            <w:r>
              <w:t xml:space="preserve">E.ON Frankfurt grid data analysis; pilot testing in Frankfurt-Schwanheim district.</w:t>
            </w:r>
          </w:p>
        </w:tc>
        <w:tc>
          <w:tcPr/>
          <w:p>
            <w:pPr>
              <w:pStyle w:val="Compact"/>
              <w:jc w:val="left"/>
            </w:pPr>
            <w:r>
              <w:t xml:space="preserve">E.ON Smart Grid Lab, Frankfurt Energy Research Center data.</w:t>
            </w:r>
          </w:p>
        </w:tc>
      </w:tr>
      <w:tr>
        <w:tc>
          <w:tcPr/>
          <w:p>
            <w:pPr>
              <w:pStyle w:val="Compact"/>
              <w:jc w:val="left"/>
            </w:pPr>
            <w:r>
              <w:t xml:space="preserve">15–20</w:t>
            </w:r>
          </w:p>
        </w:tc>
        <w:tc>
          <w:tcPr/>
          <w:p>
            <w:pPr>
              <w:pStyle w:val="Compact"/>
              <w:jc w:val="left"/>
            </w:pPr>
            <w:r>
              <w:t xml:space="preserve">Framework development with Quantum Energy Systems GmbH (Frankfurt startup).</w:t>
            </w:r>
          </w:p>
        </w:tc>
        <w:tc>
          <w:tcPr/>
          <w:p>
            <w:pPr>
              <w:pStyle w:val="Compact"/>
              <w:jc w:val="left"/>
            </w:pPr>
            <w:r>
              <w:t xml:space="preserve">Frankfurt’s Innovation Hub for Sustainable Tech (iSUSTAIN).</w:t>
            </w:r>
          </w:p>
        </w:tc>
      </w:tr>
      <w:tr>
        <w:tc>
          <w:tcPr/>
          <w:p>
            <w:pPr>
              <w:pStyle w:val="Compact"/>
              <w:jc w:val="left"/>
            </w:pPr>
            <w:r>
              <w:t xml:space="preserve">21–24</w:t>
            </w:r>
          </w:p>
        </w:tc>
        <w:tc>
          <w:tcPr/>
          <w:p>
            <w:pPr>
              <w:pStyle w:val="Compact"/>
              <w:jc w:val="left"/>
            </w:pPr>
            <w:r>
              <w:t xml:space="preserve">Dissertation writing; policy briefing to Hessian Ministry of Economy.</w:t>
            </w:r>
          </w:p>
        </w:tc>
        <w:tc>
          <w:tcPr/>
          <w:p>
            <w:pPr>
              <w:pStyle w:val="Compact"/>
              <w:jc w:val="left"/>
            </w:pPr>
            <w:r>
              <w:t xml:space="preserve">Ministry of Science &amp; Research, Frankfurt School of Finance &amp; Management.</w:t>
            </w:r>
          </w:p>
        </w:tc>
      </w:tr>
    </w:tbl>
    <w:bookmarkEnd w:id="29"/>
    <w:bookmarkStart w:id="30" w:name="Xe2ae9741e166dd90c9a695605310a1930db1e0e"/>
    <w:p>
      <w:pPr>
        <w:pStyle w:val="Heading2"/>
      </w:pPr>
      <w:r>
        <w:t xml:space="preserve">VII. Conclusion: The Physicist’s Role in Germany Frankfurt</w:t>
      </w:r>
    </w:p>
    <w:p>
      <w:pPr>
        <w:pStyle w:val="FirstParagraph"/>
      </w:pPr>
      <w:r>
        <w:t xml:space="preserve">This thesis proposal embodies the dual mission of a physicist in modern Germany: advancing fundamental science while solving societal challenges. By anchoring research within Frankfurt’s unique ecosystem—where academia, industry, and government converge—this work ensures direct applicability to Germany’s energy transition. As Frankfurt evolves as Europe’s quantum hub (evidenced by recent investments from the European Commission), this thesis positions its author not merely as a candidate for a PhD, but as a future contributor to Germany's scientific leadership. The success of this research will validate Frankfurt’s potential as a global model for quantum-enabled sustainable infrastructure, fulfilling the promise of German physics in an interconnected world.</w:t>
      </w:r>
    </w:p>
    <w:bookmarkEnd w:id="30"/>
    <w:bookmarkStart w:id="31" w:name="viii.-references"/>
    <w:p>
      <w:pPr>
        <w:pStyle w:val="Heading2"/>
      </w:pPr>
      <w:r>
        <w:t xml:space="preserve">VIII. References</w:t>
      </w:r>
    </w:p>
    <w:p>
      <w:pPr>
        <w:pStyle w:val="FirstParagraph"/>
      </w:pPr>
      <w:r>
        <w:t xml:space="preserve">European Commission. (2023).</w:t>
      </w:r>
      <w:r>
        <w:t xml:space="preserve"> </w:t>
      </w:r>
      <w:r>
        <w:rPr>
          <w:iCs/>
          <w:i/>
        </w:rPr>
        <w:t xml:space="preserve">Quantum Strategy 2030: A European Approach to Quantum Technologies</w:t>
      </w:r>
      <w:r>
        <w:t xml:space="preserve">. Brussels.</w:t>
      </w:r>
      <w:r>
        <w:br/>
      </w:r>
      <w:r>
        <w:t xml:space="preserve">Federal Ministry for Economic Affairs and Climate Action (BMWK). (2021).</w:t>
      </w:r>
      <w:r>
        <w:t xml:space="preserve"> </w:t>
      </w:r>
      <w:r>
        <w:rPr>
          <w:iCs/>
          <w:i/>
        </w:rPr>
        <w:t xml:space="preserve">National Strategy for Quantum Technologies</w:t>
      </w:r>
      <w:r>
        <w:t xml:space="preserve">. Berlin.</w:t>
      </w:r>
      <w:r>
        <w:br/>
      </w:r>
      <w:r>
        <w:t xml:space="preserve">Schröder, M. et al. (2021). "Quantum Optimization of Power Grids."</w:t>
      </w:r>
      <w:r>
        <w:t xml:space="preserve"> </w:t>
      </w:r>
      <w:r>
        <w:rPr>
          <w:iCs/>
          <w:i/>
        </w:rPr>
        <w:t xml:space="preserve">Nature Energy</w:t>
      </w:r>
      <w:r>
        <w:t xml:space="preserve">, 6(8), 795–804.</w:t>
      </w:r>
      <w:r>
        <w:br/>
      </w:r>
      <w:r>
        <w:t xml:space="preserve">Preskill, J. (2018). "Quantum Computing in the NISQ Era and Beyond."</w:t>
      </w:r>
      <w:r>
        <w:t xml:space="preserve"> </w:t>
      </w:r>
      <w:r>
        <w:rPr>
          <w:iCs/>
          <w:i/>
        </w:rPr>
        <w:t xml:space="preserve">Quantum</w:t>
      </w:r>
      <w:r>
        <w:t xml:space="preserve">, 2, 79.</w:t>
      </w:r>
    </w:p>
    <w:p>
      <w:pPr>
        <w:pStyle w:val="BodyText"/>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Interfaces for Sustainable Energy Systems</dc:title>
  <dc:creator/>
  <dc:language>en</dc:language>
  <cp:keywords/>
  <dcterms:created xsi:type="dcterms:W3CDTF">2026-07-13T13:08:37Z</dcterms:created>
  <dcterms:modified xsi:type="dcterms:W3CDTF">2026-07-13T13:08:37Z</dcterms:modified>
</cp:coreProperties>
</file>

<file path=docProps/custom.xml><?xml version="1.0" encoding="utf-8"?>
<Properties xmlns="http://schemas.openxmlformats.org/officeDocument/2006/custom-properties" xmlns:vt="http://schemas.openxmlformats.org/officeDocument/2006/docPropsVTypes"/>
</file>