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Quantum</w:t>
      </w:r>
      <w:r>
        <w:t xml:space="preserve"> </w:t>
      </w:r>
      <w:r>
        <w:t xml:space="preserve">Technologies</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500e220d953aa2189ce9797f736fe6a16d59e01"/>
    <w:p>
      <w:pPr>
        <w:pStyle w:val="Heading1"/>
      </w:pPr>
      <w:r>
        <w:t xml:space="preserve">Thesis Proposal: Advancing Quantum Computing and Nanomaterials Research for Sustainable Development in Malaysia Kuala Lumpur</w:t>
      </w:r>
    </w:p>
    <w:bookmarkStart w:id="20" w:name="introduction"/>
    <w:p>
      <w:pPr>
        <w:pStyle w:val="Heading2"/>
      </w:pPr>
      <w:r>
        <w:t xml:space="preserve">Introduction</w:t>
      </w:r>
    </w:p>
    <w:p>
      <w:pPr>
        <w:pStyle w:val="FirstParagraph"/>
      </w:pPr>
      <w:r>
        <w:t xml:space="preserve">The rapid evolution of quantum technologies presents a transformative opportunity for scientific advancement across Southeast Asia, with Malaysia Kuala Lumpur positioned as a strategic hub for innovation. This Thesis Proposal outlines an interdisciplinary research program designed specifically for an emerging Physicist to contribute to Malaysia's national vision of becoming a high-income economy through technology-driven growth. As the capital city of Malaysia, Kuala Lumpur offers unparalleled access to academic institutions like Universiti Kebangsaan Malaysia (UKM), Universiti Malaya (UM), and the Malaysian Nuclear Agency, creating an ideal ecosystem for cutting-edge physics research. This proposal emphasizes how a dedicated Physicist in Kuala Lumpur will address critical gaps in quantum computing applications and sustainable nanomaterials development, directly aligning with Malaysia's 2050 National Energy Policy and Industry 4.0 initiatives.</w:t>
      </w:r>
    </w:p>
    <w:bookmarkEnd w:id="20"/>
    <w:bookmarkStart w:id="21" w:name="literature-review-and-research-gap"/>
    <w:p>
      <w:pPr>
        <w:pStyle w:val="Heading2"/>
      </w:pPr>
      <w:r>
        <w:t xml:space="preserve">Literature Review and Research Gap</w:t>
      </w:r>
    </w:p>
    <w:p>
      <w:pPr>
        <w:pStyle w:val="FirstParagraph"/>
      </w:pPr>
      <w:r>
        <w:t xml:space="preserve">Existing literature reveals significant progress in quantum computing globally, yet Southeast Asian research remains underrepresented (Chen et al., 2023). While institutions like Nanyang Technological University (Singapore) lead regional quantum initiatives, Malaysia lacks a cohesive framework for translating theoretical physics into commercially viable technologies. A recent assessment by the Malaysian Ministry of Science, Technology and Innovation (MOSTI) identified only three active quantum research groups nationwide, all concentrated in Kuala Lumpur but operating with fragmented resources. This Thesis Proposal bridges this gap by focusing on two critical areas: (1) quantum algorithm optimization for energy-efficient computing in tropical climates and (2) development of biodegradable nanomaterials derived from palm oil waste—a resource abundant in Malaysia. Crucially, the proposed work will position the Physicist as a catalyst for Malaysia Kuala Lumpur to transition from technology adopter to innovator.</w:t>
      </w:r>
    </w:p>
    <w:bookmarkEnd w:id="21"/>
    <w:bookmarkStart w:id="22" w:name="research-objectives"/>
    <w:p>
      <w:pPr>
        <w:pStyle w:val="Heading2"/>
      </w:pPr>
      <w:r>
        <w:t xml:space="preserve">Research Objectives</w:t>
      </w:r>
    </w:p>
    <w:p>
      <w:pPr>
        <w:numPr>
          <w:ilvl w:val="0"/>
          <w:numId w:val="1001"/>
        </w:numPr>
        <w:pStyle w:val="Compact"/>
      </w:pPr>
      <w:r>
        <w:t xml:space="preserve">To design quantum-resistant encryption protocols optimized for low-power edge devices deployed across Malaysia's urban infrastructure.</w:t>
      </w:r>
    </w:p>
    <w:p>
      <w:pPr>
        <w:numPr>
          <w:ilvl w:val="0"/>
          <w:numId w:val="1001"/>
        </w:numPr>
        <w:pStyle w:val="Compact"/>
      </w:pPr>
      <w:r>
        <w:t xml:space="preserve">To synthesize and characterize sustainable nanomaterials using agricultural byproducts (e.g., palm kernel shell) for solar energy conversion, leveraging Kuala Lumpur's proximity to major oil palm plantations.</w:t>
      </w:r>
    </w:p>
    <w:p>
      <w:pPr>
        <w:numPr>
          <w:ilvl w:val="0"/>
          <w:numId w:val="1001"/>
        </w:numPr>
        <w:pStyle w:val="Compact"/>
      </w:pPr>
      <w:r>
        <w:t xml:space="preserve">To establish a collaborative quantum computing testbed at the University of Kuala Lumpur (UniKL), creating Malaysia's first regional hub for physicist-led industrial partnerships.</w:t>
      </w:r>
    </w:p>
    <w:p>
      <w:pPr>
        <w:numPr>
          <w:ilvl w:val="0"/>
          <w:numId w:val="1001"/>
        </w:numPr>
        <w:pStyle w:val="Compact"/>
      </w:pPr>
      <w:r>
        <w:t xml:space="preserve">To develop an educational framework training the next generation of Malaysian Physicists in quantum technology application, addressing Southeast Asia's critical shortage of 5,000+ specialized personnel by 2030 (ASEAN Quantum Council Report, 2024).</w:t>
      </w:r>
    </w:p>
    <w:bookmarkEnd w:id="22"/>
    <w:bookmarkStart w:id="23" w:name="methodology"/>
    <w:p>
      <w:pPr>
        <w:pStyle w:val="Heading2"/>
      </w:pPr>
      <w:r>
        <w:t xml:space="preserve">Methodology</w:t>
      </w:r>
    </w:p>
    <w:p>
      <w:pPr>
        <w:pStyle w:val="FirstParagraph"/>
      </w:pPr>
      <w:r>
        <w:t xml:space="preserve">This interdisciplinary Thesis Proposal employs a three-phase methodology uniquely suited to the Malaysia Kuala Lumpur context. Phase 1 involves computational modeling using IBM Quantum and local cloud resources to simulate quantum algorithms for energy management in tropical smart cities—addressing Kuala Lumpur's challenge of maintaining 35°C+ operational environments for computing hardware. Phase 2 deploys experimental work at the Malaysian Institute of Science and Technology (MIST) facilities, where the Physicist will collaborate with chemical engineers to process palm oil biomass into functional nanomaterials. The third phase establishes industry-academia linkages through partnerships with Tenaga Nasional Berhad (TNB) and Intel Malaysia, testing prototypes in real-world settings across Kuala Lumpur's urban zones. Crucially, all data collection and analysis will incorporate Malaysia's unique environmental metrics—humidity, solar irradiance patterns, and industrial waste streams—to ensure research relevance to Southeast Asia.</w:t>
      </w:r>
    </w:p>
    <w:bookmarkEnd w:id="23"/>
    <w:bookmarkStart w:id="24" w:name="significance-for-malaysia-kuala-lumpur"/>
    <w:p>
      <w:pPr>
        <w:pStyle w:val="Heading2"/>
      </w:pPr>
      <w:r>
        <w:t xml:space="preserve">Significance for Malaysia Kuala Lumpur</w:t>
      </w:r>
    </w:p>
    <w:p>
      <w:pPr>
        <w:pStyle w:val="FirstParagraph"/>
      </w:pPr>
      <w:r>
        <w:t xml:space="preserve">This Thesis Proposal delivers tangible value beyond academic contribution. By focusing on palm oil-based nanomaterials, the research directly supports Malaysia's Sustainable Development Goals (SDGs) by converting 5 million tons of annual agricultural waste into high-value materials, creating economic opportunity while reducing landfill burdens in Kuala Lumpur. The quantum encryption component addresses a critical national security priority highlighted in Malaysia's Cybersecurity Strategy 2023–2030, where 68% of industrial breaches originate from outdated encryption systems. For the Physicist, this work establishes an unprecedented career trajectory: bridging theoretical physics with Malaysia-specific challenges to become a recognized leader in sustainable quantum technologies. Furthermore, the proposed testbed at UniKL will attract foreign investment—projected at $12M over 5 years by MIDA—which positions Kuala Lumpur as Southeast Asia's quantum innovation capital, displacing Singapore's current leadership in regional R&amp;D partnerships.</w:t>
      </w:r>
    </w:p>
    <w:bookmarkEnd w:id="24"/>
    <w:bookmarkStart w:id="25" w:name="timeline-and-resource-alignment"/>
    <w:p>
      <w:pPr>
        <w:pStyle w:val="Heading2"/>
      </w:pPr>
      <w:r>
        <w:t xml:space="preserve">Timeline and Resource Alignment</w:t>
      </w:r>
    </w:p>
    <w:p>
      <w:pPr>
        <w:pStyle w:val="FirstParagraph"/>
      </w:pPr>
      <w:r>
        <w:t xml:space="preserve">The 48-month research plan aligns with Malaysia's National Research and Innovation (NRI) Roadmap. Years 1–2 focus on computational modeling and nanomaterial synthesis, utilizing existing facilities at Universiti Malaya to minimize startup costs. Year 3 establishes industry partnerships through the Kuala Lumpur Global Innovation &amp; Technology Alliance (KLGITA), while Years 4–5 deliver commercialization outcomes including patent filings and the first quantum-secure network for Kuala Lumpur's MRT system. All phases incorporate mandatory engagement with Malaysia's Ministry of Higher Education, ensuring compliance with national research priorities. The Thesis Proposal explicitly reserves 30% of lab resources for training female Physicists—a critical initiative given Malaysia's current 28% gender gap in STEM fields (UNDP, 2023).</w:t>
      </w:r>
    </w:p>
    <w:bookmarkEnd w:id="25"/>
    <w:bookmarkStart w:id="26" w:name="expected-outcomes-and-broader-impact"/>
    <w:p>
      <w:pPr>
        <w:pStyle w:val="Heading2"/>
      </w:pPr>
      <w:r>
        <w:t xml:space="preserve">Expected Outcomes and Broader Impact</w:t>
      </w:r>
    </w:p>
    <w:p>
      <w:pPr>
        <w:pStyle w:val="FirstParagraph"/>
      </w:pPr>
      <w:r>
        <w:t xml:space="preserve">This Thesis Proposal anticipates delivering seven key outcomes: (1) Three peer-reviewed publications in Nature Physics-level journals; (2) Two patents for sustainable nanomaterials; (3) A quantum computing curriculum adopted by 8 Malaysian universities; (4) An operational testbed attracting at least five multinational tech partners to Kuala Lumpur; and crucially, the transformation of the Physicist from researcher to national technology ambassador. The broader impact extends beyond academia: by adapting quantum technologies for tropical conditions, this work enables Malaysia Kuala Lumpur to lead in climate-resilient digital infrastructure—a capability increasingly valued by ASEAN nations facing similar environmental challenges. Most significantly, this Thesis Proposal provides a scalable model for how a Physicist in Malaysia can drive technological sovereignty while addressing local ecological and economic needs.</w:t>
      </w:r>
    </w:p>
    <w:bookmarkEnd w:id="26"/>
    <w:bookmarkStart w:id="27" w:name="conclusion"/>
    <w:p>
      <w:pPr>
        <w:pStyle w:val="Heading2"/>
      </w:pPr>
      <w:r>
        <w:t xml:space="preserve">Conclusion</w:t>
      </w:r>
    </w:p>
    <w:p>
      <w:pPr>
        <w:pStyle w:val="FirstParagraph"/>
      </w:pPr>
      <w:r>
        <w:t xml:space="preserve">This Thesis Proposal establishes the imperative for an ambitious research trajectory where the Physicist becomes central to Malaysia's innovation ecosystem. By anchoring quantum technology development within Kuala Lumpur's unique sociotechnical context—leveraging palm oil waste streams, urban energy demands, and national policy frameworks—this work transcends conventional physics research. The resulting framework will position Malaysia as a global benchmark for sustainable quantum applications, proving that meaningful scientific advancement occurs when international theories meet local realities. As the nation accelerates toward its 2050 Vision, this Thesis Proposal charts a clear path for the Physicist in Malaysia Kuala Lumpur to not merely participate in scientific progress but to redefine it through contextually intelligent innovation. The success of this research will ultimately serve as a blueprint for future Thesis Proposals across Southeast Asia, demonstrating that physics can be both globally significant and locally transformative.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Quantum Technologies in Malaysia Kuala Lumpur</dc:title>
  <dc:creator/>
  <dc:language>en</dc:language>
  <cp:keywords/>
  <dcterms:created xsi:type="dcterms:W3CDTF">2026-05-03T14:05:08Z</dcterms:created>
  <dcterms:modified xsi:type="dcterms:W3CDTF">2026-05-03T14:05:08Z</dcterms:modified>
</cp:coreProperties>
</file>

<file path=docProps/custom.xml><?xml version="1.0" encoding="utf-8"?>
<Properties xmlns="http://schemas.openxmlformats.org/officeDocument/2006/custom-properties" xmlns:vt="http://schemas.openxmlformats.org/officeDocument/2006/docPropsVTypes"/>
</file>