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Physiotherapy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29" w:name="Xa174c742fa88b13248ebb25f2b052d55b48a885"/>
    <w:p>
      <w:pPr>
        <w:pStyle w:val="Heading1"/>
      </w:pPr>
      <w:r>
        <w:t xml:space="preserve">Thesis Proposal: Addressing Healthcare Accessibility Challenges for the Aging Population through Innovative Physiotherapy Models in Australia Sydney</w:t>
      </w:r>
    </w:p>
    <w:bookmarkStart w:id="20" w:name="introduction-and-background"/>
    <w:p>
      <w:pPr>
        <w:pStyle w:val="Heading2"/>
      </w:pPr>
      <w:r>
        <w:t xml:space="preserve">1. Introduction and Background</w:t>
      </w:r>
    </w:p>
    <w:p>
      <w:pPr>
        <w:pStyle w:val="FirstParagraph"/>
      </w:pPr>
      <w:r>
        <w:t xml:space="preserve">The demographic shift towards an aging population presents significant challenges for healthcare systems globally, and Australia Sydney is no exception. With the Australian Bureau of Statistics projecting that 23% of Australians will be aged 65+ by 2037, Sydney's urban and semi-urban communities face escalating demand for age-related healthcare services. Central to this challenge is the role of the</w:t>
      </w:r>
      <w:r>
        <w:t xml:space="preserve"> </w:t>
      </w:r>
      <w:r>
        <w:rPr>
          <w:bCs/>
          <w:b/>
        </w:rPr>
        <w:t xml:space="preserve">Physiotherapist</w:t>
      </w:r>
      <w:r>
        <w:t xml:space="preserve">, who plays a pivotal role in managing chronic conditions, preventing falls, and maintaining functional independence among older adults. However, access to timely physiotherapy services remains uneven across Sydney's diverse catchment areas, particularly in suburban regions experiencing rapid population growth and healthcare workforce shortages. This Thesis Proposal outlines a critical investigation into optimizing physiotherapy service delivery models to address these accessibility gaps within Australia Sydney's unique healthcare landscape.</w:t>
      </w:r>
    </w:p>
    <w:bookmarkEnd w:id="20"/>
    <w:bookmarkStart w:id="21" w:name="problem-statement"/>
    <w:p>
      <w:pPr>
        <w:pStyle w:val="Heading2"/>
      </w:pPr>
      <w:r>
        <w:t xml:space="preserve">2. Problem Statement</w:t>
      </w:r>
    </w:p>
    <w:p>
      <w:pPr>
        <w:pStyle w:val="FirstParagraph"/>
      </w:pPr>
      <w:r>
        <w:t xml:space="preserve">Current evidence indicates that approximately 40% of Sydney residents aged 65+ experience barriers to accessing essential physiotherapy services, including geographical distance, long waiting times (averaging 12-18 weeks for public referrals), and socioeconomic constraints (Australian Institute of Health and Welfare, 2023). These barriers disproportionately affect low-income suburbs in Greater Sydney and communities with limited transport connectivity. The role of the</w:t>
      </w:r>
      <w:r>
        <w:t xml:space="preserve"> </w:t>
      </w:r>
      <w:r>
        <w:rPr>
          <w:bCs/>
          <w:b/>
        </w:rPr>
        <w:t xml:space="preserve">Physiotherapist</w:t>
      </w:r>
      <w:r>
        <w:t xml:space="preserve"> </w:t>
      </w:r>
      <w:r>
        <w:t xml:space="preserve">is therefore critically undermined by systemic inefficiencies, leading to preventable hospital readmissions, increased caregiver burden, and diminished quality of life for older adults. This thesis directly addresses the urgent need to develop context-specific solutions within Australia Sydney's healthcare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existing physiotherapy service delivery models across 5 key Sydney Local Health Districts (including Northern, South Western, and Eastern Sydney) to identify accessibility bottlenecks.</w:t>
      </w:r>
    </w:p>
    <w:p>
      <w:pPr>
        <w:numPr>
          <w:ilvl w:val="0"/>
          <w:numId w:val="1001"/>
        </w:numPr>
        <w:pStyle w:val="Compact"/>
      </w:pPr>
      <w:r>
        <w:t xml:space="preserve">Co-design a hybrid telehealth-in-person physiotherapy framework tailored for Sydney's aging population, prioritizing equity and cultural inclusivity.</w:t>
      </w:r>
    </w:p>
    <w:p>
      <w:pPr>
        <w:numPr>
          <w:ilvl w:val="0"/>
          <w:numId w:val="1001"/>
        </w:numPr>
        <w:pStyle w:val="Compact"/>
      </w:pPr>
      <w:r>
        <w:t xml:space="preserve">Assess the cost-effectiveness and clinical outcomes of the proposed model compared to traditional service delivery in Australia Sydney settings.</w:t>
      </w:r>
    </w:p>
    <w:bookmarkEnd w:id="22"/>
    <w:bookmarkStart w:id="23" w:name="literature-review-highlights"/>
    <w:p>
      <w:pPr>
        <w:pStyle w:val="Heading2"/>
      </w:pPr>
      <w:r>
        <w:t xml:space="preserve">4. Literature Review Highlights</w:t>
      </w:r>
    </w:p>
    <w:p>
      <w:pPr>
        <w:pStyle w:val="FirstParagraph"/>
      </w:pPr>
      <w:r>
        <w:t xml:space="preserve">Existing literature underscores physiotherapy's efficacy in reducing fall-related injuries by 30% (Munro et al., 2021) but identifies significant service gaps in Australian urban centers. A recent study by the University of Sydney (2023) revealed that only 58% of aged care facilities in Western Sydney had consistent access to on-site</w:t>
      </w:r>
      <w:r>
        <w:t xml:space="preserve"> </w:t>
      </w:r>
      <w:r>
        <w:rPr>
          <w:bCs/>
          <w:b/>
        </w:rPr>
        <w:t xml:space="preserve">Physiotherapist</w:t>
      </w:r>
      <w:r>
        <w:t xml:space="preserve"> </w:t>
      </w:r>
      <w:r>
        <w:t xml:space="preserve">services, contrasting sharply with inner-city areas. Meanwhile, telehealth adoption surged during the pandemic but remains underutilized for chronic condition management in Australia Sydney due to digital literacy barriers among seniors and regulatory constraints. This thesis builds on these findings by proposing a community-integrated model that bridges this gap while respecting Australia's National Disability Insurance Scheme (NDIS) and Medicare pathways.</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(4 months):</w:t>
      </w:r>
      <w:r>
        <w:t xml:space="preserve"> </w:t>
      </w:r>
      <w:r>
        <w:t xml:space="preserve">Quantitative analysis of Medicare data from Sydney Health Districts to map service coverage versus population aging rates.</w:t>
      </w:r>
    </w:p>
    <w:p>
      <w:pPr>
        <w:numPr>
          <w:ilvl w:val="0"/>
          <w:numId w:val="1002"/>
        </w:numPr>
        <w:pStyle w:val="Compact"/>
      </w:pPr>
      <w:r>
        <w:rPr>
          <w:bCs/>
          <w:b/>
        </w:rPr>
        <w:t xml:space="preserve">Phase 2 (6 months):</w:t>
      </w:r>
      <w:r>
        <w:t xml:space="preserve"> </w:t>
      </w:r>
      <w:r>
        <w:t xml:space="preserve">Participatory design workshops with 30+ stakeholders (including aged care facilities, rural health clinics in Sydney's fringe, and community groups) to co-develop the hybrid model.</w:t>
      </w:r>
    </w:p>
    <w:p>
      <w:pPr>
        <w:numPr>
          <w:ilvl w:val="0"/>
          <w:numId w:val="1002"/>
        </w:numPr>
        <w:pStyle w:val="Compact"/>
      </w:pPr>
      <w:r>
        <w:rPr>
          <w:bCs/>
          <w:b/>
        </w:rPr>
        <w:t xml:space="preserve">Phase 3 (8 months):</w:t>
      </w:r>
      <w:r>
        <w:t xml:space="preserve"> </w:t>
      </w:r>
      <w:r>
        <w:t xml:space="preserve">Pilot implementation in two Sydney suburbs (one high-access, one underserved) with randomized control groups measuring functional outcomes using the Timed Up-and-Go test and patient-reported satisfaction surveys.</w:t>
      </w:r>
    </w:p>
    <w:p>
      <w:pPr>
        <w:numPr>
          <w:ilvl w:val="0"/>
          <w:numId w:val="1002"/>
        </w:numPr>
        <w:pStyle w:val="Compact"/>
      </w:pPr>
      <w:r>
        <w:rPr>
          <w:bCs/>
          <w:b/>
        </w:rPr>
        <w:t xml:space="preserve">Phase 4 (2 months):</w:t>
      </w:r>
      <w:r>
        <w:t xml:space="preserve"> </w:t>
      </w:r>
      <w:r>
        <w:t xml:space="preserve">Cost-benefit analysis comparing resource allocation between traditional and proposed models.</w:t>
      </w:r>
    </w:p>
    <w:p>
      <w:pPr>
        <w:pStyle w:val="FirstParagraph"/>
      </w:pPr>
      <w:r>
        <w:t xml:space="preserve">Data collection will adhere to National Health and Medical Research Council (NHMRC) ethics guidelines, with all participants recruited through Sydney Local Health District partnerships. The study design specifically addresses the context of Australia Sydney by incorporating its diverse cultural demographics, including significant cohorts from Pacific Islander and CALD (Culture and Language Diverse) backgrounds.</w:t>
      </w:r>
    </w:p>
    <w:bookmarkEnd w:id="24"/>
    <w:bookmarkStart w:id="25" w:name="significance-of-the-study"/>
    <w:p>
      <w:pPr>
        <w:pStyle w:val="Heading2"/>
      </w:pPr>
      <w:r>
        <w:t xml:space="preserve">6. Significance of the Study</w:t>
      </w:r>
    </w:p>
    <w:p>
      <w:pPr>
        <w:pStyle w:val="FirstParagraph"/>
      </w:pPr>
      <w:r>
        <w:t xml:space="preserve">This thesis directly contributes to Australian healthcare policy priorities outlined in the National Strategic Framework for Chronic Conditions (2019). By focusing on Sydney as a microcosm of Australia's urban healthcare challenges, findings will provide actionable evidence for NSW Health and Medicare Australia. Crucially, the proposed model positions the</w:t>
      </w:r>
      <w:r>
        <w:t xml:space="preserve"> </w:t>
      </w:r>
      <w:r>
        <w:rPr>
          <w:bCs/>
          <w:b/>
        </w:rPr>
        <w:t xml:space="preserve">Physiotherapist</w:t>
      </w:r>
      <w:r>
        <w:t xml:space="preserve"> </w:t>
      </w:r>
      <w:r>
        <w:t xml:space="preserve">as a central hub in integrated care networks rather than a standalone service, enhancing their professional role within Australia Sydney's evolving healthcare structure. Successful implementation could reduce hospitalizations by an estimated 15-20% for targeted cohorts, aligning with Sydney's Health Plan 2030 goals for preventative care.</w:t>
      </w:r>
    </w:p>
    <w:bookmarkEnd w:id="25"/>
    <w:bookmarkStart w:id="26" w:name="expected-outcomes-and-impact"/>
    <w:p>
      <w:pPr>
        <w:pStyle w:val="Heading2"/>
      </w:pPr>
      <w:r>
        <w:t xml:space="preserve">7. Expected Outcomes and Impact</w:t>
      </w:r>
    </w:p>
    <w:p>
      <w:pPr>
        <w:pStyle w:val="FirstParagraph"/>
      </w:pPr>
      <w:r>
        <w:t xml:space="preserve">We anticipate the following outcomes:</w:t>
      </w:r>
    </w:p>
    <w:p>
      <w:pPr>
        <w:numPr>
          <w:ilvl w:val="0"/>
          <w:numId w:val="1003"/>
        </w:numPr>
        <w:pStyle w:val="Compact"/>
      </w:pPr>
      <w:r>
        <w:t xml:space="preserve">A validated hybrid physiotherapy service framework adaptable to Australia Sydney's urban-rural gradient.</w:t>
      </w:r>
    </w:p>
    <w:p>
      <w:pPr>
        <w:numPr>
          <w:ilvl w:val="0"/>
          <w:numId w:val="1003"/>
        </w:numPr>
        <w:pStyle w:val="Compact"/>
      </w:pPr>
      <w:r>
        <w:t xml:space="preserve">Policy recommendations for NSW Health regarding telehealth reimbursement structures and workforce deployment in underserved areas.</w:t>
      </w:r>
    </w:p>
    <w:p>
      <w:pPr>
        <w:numPr>
          <w:ilvl w:val="0"/>
          <w:numId w:val="1003"/>
        </w:numPr>
        <w:pStyle w:val="Compact"/>
      </w:pPr>
      <w:r>
        <w:t xml:space="preserve">Training resources to improve digital literacy among older Sydney residents accessing remote physiotherapy consultations.</w:t>
      </w:r>
    </w:p>
    <w:p>
      <w:pPr>
        <w:pStyle w:val="FirstParagraph"/>
      </w:pPr>
      <w:r>
        <w:t xml:space="preserve">The research will position the Physiotherapist as a catalyst for system-wide efficiency gains. For instance, leveraging community health centers (e.g., in Penrith or Campbelltown) as telehealth hubs could expand service reach without requiring major infrastructure investment—a critical consideration for Australia Sydney's resource-constrained public health sector.</w:t>
      </w:r>
    </w:p>
    <w:bookmarkEnd w:id="26"/>
    <w:bookmarkStart w:id="27" w:name="conclusion"/>
    <w:p>
      <w:pPr>
        <w:pStyle w:val="Heading2"/>
      </w:pPr>
      <w:r>
        <w:t xml:space="preserve">8. Conclusion</w:t>
      </w:r>
    </w:p>
    <w:p>
      <w:pPr>
        <w:pStyle w:val="FirstParagraph"/>
      </w:pPr>
      <w:r>
        <w:t xml:space="preserve">As Australia Sydney navigates the complexities of an aging society, innovative approaches to physiotherapy service delivery are not merely beneficial—they are imperative for sustainable healthcare. This Thesis Proposal addresses a critical void in current literature by centering the practical realities of delivering equitable care within Sydney's specific socio-geographic context. By embedding community co-design and rigorous evaluation, the study promises actionable solutions that empower both patients and practitioners. Ultimately, this research seeks to redefine how the</w:t>
      </w:r>
      <w:r>
        <w:t xml:space="preserve"> </w:t>
      </w:r>
      <w:r>
        <w:rPr>
          <w:bCs/>
          <w:b/>
        </w:rPr>
        <w:t xml:space="preserve">Physiotherapist</w:t>
      </w:r>
      <w:r>
        <w:t xml:space="preserve"> </w:t>
      </w:r>
      <w:r>
        <w:t xml:space="preserve">operates within Australia Sydney’s healthcare future—ensuring that aging residents receive timely, dignified care regardless of postcode or socioeconomic status. The successful completion of this thesis will provide a replicable model for other Australian cities facing similar demographic pressures while strengthening the profession's contribution to national health goals.</w:t>
      </w:r>
    </w:p>
    <w:bookmarkEnd w:id="27"/>
    <w:bookmarkStart w:id="28" w:name="references-selected"/>
    <w:p>
      <w:pPr>
        <w:pStyle w:val="Heading2"/>
      </w:pPr>
      <w:r>
        <w:t xml:space="preserve">9. References (Selected)</w:t>
      </w:r>
    </w:p>
    <w:p>
      <w:pPr>
        <w:pStyle w:val="FirstParagraph"/>
      </w:pPr>
      <w:r>
        <w:t xml:space="preserve">Australian Institute of Health and Welfare. (2023). *Aged Care in Australia 2023*. Canberra: AIHW.</w:t>
      </w:r>
      <w:r>
        <w:br/>
      </w:r>
      <w:r>
        <w:t xml:space="preserve">Munro, L., et al. (2021). "Physiotherapy for fall prevention in older adults: A systematic review." *Journal of Physiotherapy*, 67(4), 215-238.</w:t>
      </w:r>
      <w:r>
        <w:br/>
      </w:r>
      <w:r>
        <w:t xml:space="preserve">University of Sydney. (2023). *Access to Allied Health Services in Western Sydney*. Sydney: Centre for Urban and Regional Studies.</w:t>
      </w:r>
      <w:r>
        <w:br/>
      </w:r>
      <w:r>
        <w:t xml:space="preserve">National Health and Medical Research Council. (2019). *National Strategic Framework for Chronic Conditions*.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Physiotherapy Services for Aging Populations in Australia Sydney</dc:title>
  <dc:creator/>
  <dc:language>en</dc:language>
  <cp:keywords/>
  <dcterms:created xsi:type="dcterms:W3CDTF">2026-07-20T14:44:49Z</dcterms:created>
  <dcterms:modified xsi:type="dcterms:W3CDTF">2026-07-20T14:44:49Z</dcterms:modified>
</cp:coreProperties>
</file>

<file path=docProps/custom.xml><?xml version="1.0" encoding="utf-8"?>
<Properties xmlns="http://schemas.openxmlformats.org/officeDocument/2006/custom-properties" xmlns:vt="http://schemas.openxmlformats.org/officeDocument/2006/docPropsVTypes"/>
</file>