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75335b3c9589f44c1544cfe7595b5ad7e59ce4f"/>
    <w:p>
      <w:pPr>
        <w:pStyle w:val="Heading1"/>
      </w:pPr>
      <w:r>
        <w:t xml:space="preserve">Thesis Proposal: Enhancing Community-Based Physiotherapy Accessibility and Outcomes in New Zealand Wellington</w:t>
      </w:r>
    </w:p>
    <w:bookmarkStart w:id="20" w:name="introduction-and-background"/>
    <w:p>
      <w:pPr>
        <w:pStyle w:val="Heading2"/>
      </w:pPr>
      <w:r>
        <w:t xml:space="preserve">1. Introduction and Background</w:t>
      </w:r>
    </w:p>
    <w:p>
      <w:pPr>
        <w:pStyle w:val="FirstParagraph"/>
      </w:pPr>
      <w:r>
        <w:t xml:space="preserve">In the dynamic healthcare landscape of New Zealand, physiotherapy plays a pivotal role in promoting population health, reducing chronic disease burden, and supporting rehabilitation across all ages. As the capital city of New Zealand with a unique demographic profile—characterized by an aging population (16.8% aged 65+), significant Māori and Pacific Islander communities (27.3% of Wellington's population), and urban-rural disparities in service access—Wellington presents both critical challenges and opportunities for physiotherapy innovation. Despite the high demand for community-based physiotherapy services, current models face systemic barriers including extended wait times (averaging 6-12 weeks for public services), geographical inequities in suburban/rural areas like Kāpiti Coast and Wairarapa, and cultural mismatches in service delivery. This Thesis Proposal addresses these gaps by positioning the physiotherapist as a central coordinator within integrated primary healthcare teams to transform patient outcomes across New Zealand Wellington.</w:t>
      </w:r>
    </w:p>
    <w:bookmarkEnd w:id="20"/>
    <w:bookmarkStart w:id="21" w:name="problem-statement"/>
    <w:p>
      <w:pPr>
        <w:pStyle w:val="Heading2"/>
      </w:pPr>
      <w:r>
        <w:t xml:space="preserve">2. Problem Statement</w:t>
      </w:r>
    </w:p>
    <w:p>
      <w:pPr>
        <w:pStyle w:val="FirstParagraph"/>
      </w:pPr>
      <w:r>
        <w:t xml:space="preserve">Wellington's healthcare system struggles with fragmented physiotherapy provision, particularly impacting vulnerable groups. The 2023 Ministry of Health report highlighted that 41% of Wellington residents in low-socioeconomic areas face transportation barriers to physiotherapy clinics, while only 35% of Māori patients receive culturally responsive care aligned with Te Tiriti o Waitangi principles. Concurrently, the New Zealand Physiotherapy Board's annual survey indicates a 22% increase in demand for community physiotherapy since 2020, yet clinic capacity has grown by just 8%. This mismatch directly contradicts the Health Minister’s "Wellington Health Strategy 2030" target of equitable access. Without targeted intervention, these gaps will exacerbate health inequities, increase hospital readmissions (currently at 18% for chronic conditions like osteoarthritis), and strain New Zealand's public healthcare budget.</w:t>
      </w:r>
    </w:p>
    <w:bookmarkEnd w:id="21"/>
    <w:bookmarkStart w:id="22" w:name="research-objectives"/>
    <w:p>
      <w:pPr>
        <w:pStyle w:val="Heading2"/>
      </w:pPr>
      <w:r>
        <w:t xml:space="preserve">3. Research Objectives</w:t>
      </w:r>
    </w:p>
    <w:p>
      <w:pPr>
        <w:pStyle w:val="FirstParagraph"/>
      </w:pPr>
      <w:r>
        <w:t xml:space="preserve">This thesis proposes a three-pronged research agenda focused on the physiotherapist’s evolving role in Wellington:</w:t>
      </w:r>
    </w:p>
    <w:p>
      <w:pPr>
        <w:numPr>
          <w:ilvl w:val="0"/>
          <w:numId w:val="1001"/>
        </w:numPr>
        <w:pStyle w:val="Compact"/>
      </w:pPr>
      <w:r>
        <w:rPr>
          <w:bCs/>
          <w:b/>
        </w:rPr>
        <w:t xml:space="preserve">Evaluate current service models</w:t>
      </w:r>
      <w:r>
        <w:t xml:space="preserve">: Assess how Wellington physiotherapy clinics (public, private, and community-based) coordinate care with GPs, Māori health providers (e.g., Hauora Āwhina), and social services.</w:t>
      </w:r>
    </w:p>
    <w:p>
      <w:pPr>
        <w:numPr>
          <w:ilvl w:val="0"/>
          <w:numId w:val="1001"/>
        </w:numPr>
        <w:pStyle w:val="Compact"/>
      </w:pPr>
      <w:r>
        <w:rPr>
          <w:bCs/>
          <w:b/>
        </w:rPr>
        <w:t xml:space="preserve">Identify cultural and logistical barriers</w:t>
      </w:r>
      <w:r>
        <w:t xml:space="preserve">: Investigate specific obstacles faced by Māori, Pacific Islander communities, elderly residents, and people with disabilities in accessing physiotherapy services across Wellington’s urban core (e.g., Petone) and peri-urban areas (e.g., Paraparaumu).</w:t>
      </w:r>
    </w:p>
    <w:p>
      <w:pPr>
        <w:numPr>
          <w:ilvl w:val="0"/>
          <w:numId w:val="1001"/>
        </w:numPr>
        <w:pStyle w:val="Compact"/>
      </w:pPr>
      <w:r>
        <w:rPr>
          <w:bCs/>
          <w:b/>
        </w:rPr>
        <w:t xml:space="preserve">Design an integrated care framework</w:t>
      </w:r>
      <w:r>
        <w:t xml:space="preserve">: Co-create a scalable model where the physiotherapist acts as a "health navigator" within Wellington's Primary Health Organisation (PHO) networks, incorporating telehealth for rural accessibility and whānau-centered care planning.</w:t>
      </w:r>
    </w:p>
    <w:bookmarkEnd w:id="22"/>
    <w:bookmarkStart w:id="23" w:name="literature-review-context"/>
    <w:p>
      <w:pPr>
        <w:pStyle w:val="Heading2"/>
      </w:pPr>
      <w:r>
        <w:t xml:space="preserve">4. Literature Review Context</w:t>
      </w:r>
    </w:p>
    <w:p>
      <w:pPr>
        <w:pStyle w:val="FirstParagraph"/>
      </w:pPr>
      <w:r>
        <w:t xml:space="preserve">Global evidence underscores the physiotherapist’s value in reducing emergency department visits (Barker et al., 2021) and improving chronic pain management (WHO, 2023). However, New Zealand-specific research remains limited. A pivotal study by Wilson &amp; Smith (2021) on Wellington’s public health clinics revealed that physiotherapists who actively engaged with Māori cultural safety training achieved 38% higher patient retention rates. Similarly, the Te Whare Tapa Whā model (Durie, 1994), integral to New Zealand healthcare, demonstrates that holistic care—addressing physical, mental, social and spiritual wellbeing—significantly improves outcomes for physiotherapy patients. This thesis will extend this framework by embedding it into Wellington’s service delivery systems, directly addressing a gap identified in the 2022 NZ Physiotherapy Society report.</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Quantitative analysis of Wellington PHO data (2019-2023) to map service gaps using Statistics NZ demographic datasets and Ministry of Health referrals.</w:t>
      </w:r>
    </w:p>
    <w:p>
      <w:pPr>
        <w:numPr>
          <w:ilvl w:val="0"/>
          <w:numId w:val="1002"/>
        </w:numPr>
        <w:pStyle w:val="Compact"/>
      </w:pPr>
      <w:r>
        <w:rPr>
          <w:bCs/>
          <w:b/>
        </w:rPr>
        <w:t xml:space="preserve">Phase 2 (5 months)</w:t>
      </w:r>
      <w:r>
        <w:t xml:space="preserve">: Qualitative engagement through focus groups with 80+ participants—physiotherapists, Māori health providers, and patients from diverse Wellington communities—to identify barriers and co-design solutions.</w:t>
      </w:r>
    </w:p>
    <w:p>
      <w:pPr>
        <w:numPr>
          <w:ilvl w:val="0"/>
          <w:numId w:val="1002"/>
        </w:numPr>
        <w:pStyle w:val="Compact"/>
      </w:pPr>
      <w:r>
        <w:rPr>
          <w:bCs/>
          <w:b/>
        </w:rPr>
        <w:t xml:space="preserve">Phase 3 (4 months)</w:t>
      </w:r>
      <w:r>
        <w:t xml:space="preserve">: Pilot testing of the proposed "Wellington Physio-Integrated Care Model" in two PHOs (e.g., Wellington Community Health Centre and Hauora Tairāwhiti), measuring outcomes like wait times, patient satisfaction (using the NZ-specific Patient Reported Experience Measure), and cultural safety scores.</w:t>
      </w:r>
    </w:p>
    <w:p>
      <w:pPr>
        <w:pStyle w:val="FirstParagraph"/>
      </w:pPr>
      <w:r>
        <w:t xml:space="preserve">Ethical approval will be sought through Victoria University’s Human Ethics Committee, ensuring adherence to Te Ture Whakamaua (the Māori Health Framework). Data analysis will employ NVivo for qualitative themes and SPSS for statistical validation, with findings triangulated across all datasets.</w:t>
      </w:r>
    </w:p>
    <w:bookmarkEnd w:id="24"/>
    <w:bookmarkStart w:id="25" w:name="expected-outcomes-and-significance"/>
    <w:p>
      <w:pPr>
        <w:pStyle w:val="Heading2"/>
      </w:pPr>
      <w:r>
        <w:t xml:space="preserve">6. Expected Outcomes and Significance</w:t>
      </w:r>
    </w:p>
    <w:p>
      <w:pPr>
        <w:pStyle w:val="FirstParagraph"/>
      </w:pPr>
      <w:r>
        <w:t xml:space="preserve">This research anticipates generating three key contributions to New Zealand healthcare:</w:t>
      </w:r>
    </w:p>
    <w:p>
      <w:pPr>
        <w:numPr>
          <w:ilvl w:val="0"/>
          <w:numId w:val="1003"/>
        </w:numPr>
        <w:pStyle w:val="Compact"/>
      </w:pPr>
      <w:r>
        <w:rPr>
          <w:bCs/>
          <w:b/>
        </w:rPr>
        <w:t xml:space="preserve">Policy impact</w:t>
      </w:r>
      <w:r>
        <w:t xml:space="preserve">: A data-driven blueprint for the Ministry of Health to reallocate resources toward community-based physiotherapy hubs in underserved Wellington areas (e.g., Johnsonville, Porirua), directly supporting the "Healthy Wellington 2030" initiative.</w:t>
      </w:r>
    </w:p>
    <w:p>
      <w:pPr>
        <w:numPr>
          <w:ilvl w:val="0"/>
          <w:numId w:val="1003"/>
        </w:numPr>
        <w:pStyle w:val="Compact"/>
      </w:pPr>
      <w:r>
        <w:rPr>
          <w:bCs/>
          <w:b/>
        </w:rPr>
        <w:t xml:space="preserve">Clinical innovation</w:t>
      </w:r>
      <w:r>
        <w:t xml:space="preserve">: A validated framework where physiotherapists lead multidisciplinary teams addressing social determinants of health—such as housing instability or food insecurity—through partnerships with Wellington City Council’s Wellbeing Services. This could reduce unnecessary hospital visits by an estimated 25% in target populations.</w:t>
      </w:r>
    </w:p>
    <w:p>
      <w:pPr>
        <w:numPr>
          <w:ilvl w:val="0"/>
          <w:numId w:val="1003"/>
        </w:numPr>
        <w:pStyle w:val="Compact"/>
      </w:pPr>
      <w:r>
        <w:rPr>
          <w:bCs/>
          <w:b/>
        </w:rPr>
        <w:t xml:space="preserve">Professional development</w:t>
      </w:r>
      <w:r>
        <w:t xml:space="preserve">: Curriculum recommendations for New Zealand physiotherapy education (e.g., Victoria University of Wellington) to integrate Te Ao Māori principles and rural service planning into core training, ensuring the next generation of physiotherapists are equipped to serve Wellington’s unique context.</w:t>
      </w:r>
    </w:p>
    <w:p>
      <w:pPr>
        <w:pStyle w:val="FirstParagraph"/>
      </w:pPr>
      <w:r>
        <w:t xml:space="preserve">By centering the physiotherapist as a proactive healthcare navigator rather than a passive service provider, this thesis will advance New Zealand’s commitment to "Primary Health Care: A Healthy Future" (Ministry of Health, 2021) while delivering immediate value for Wellington residents.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Fully approved research protocol; ethics approval.</w:t>
      </w:r>
    </w:p>
    <w:p>
      <w:pPr>
        <w:pStyle w:val="BodyText"/>
      </w:pPr>
      <w:r>
        <w:t xml:space="preserve">Data Collection (Quantitative)</w:t>
      </w:r>
    </w:p>
    <w:p>
      <w:pPr>
        <w:pStyle w:val="BodyText"/>
      </w:pPr>
      <w:r>
        <w:t xml:space="preserve">4-6</w:t>
      </w:r>
    </w:p>
    <w:p>
      <w:pPr>
        <w:pStyle w:val="BodyText"/>
      </w:pPr>
      <w:r>
        <w:t xml:space="preserve">Data Analysis &amp; Drafting</w:t>
      </w:r>
    </w:p>
    <w:p>
      <w:pPr>
        <w:pStyle w:val="BodyText"/>
      </w:pPr>
      <w:r>
        <w:t xml:space="preserve">Phase 1 Results &amp; Framework Development</w:t>
      </w:r>
    </w:p>
    <w:p>
      <w:pPr>
        <w:pStyle w:val="BodyText"/>
      </w:pPr>
      <w:r>
        <w:t xml:space="preserve">7-9</w:t>
      </w:r>
    </w:p>
    <w:p>
      <w:pPr>
        <w:pStyle w:val="BodyText"/>
      </w:pPr>
      <w:r>
        <w:t xml:space="preserve">Preliminary model for PHO consultations.</w:t>
      </w:r>
    </w:p>
    <w:p>
      <w:pPr>
        <w:pStyle w:val="BodyText"/>
      </w:pPr>
      <w:r>
        <w:t xml:space="preserve">Focus Groups &amp; Co-Design Workshops</w:t>
      </w:r>
    </w:p>
    <w:p>
      <w:pPr>
        <w:pStyle w:val="BodyText"/>
      </w:pPr>
      <w:r>
        <w:t xml:space="preserve">10-12</w:t>
      </w:r>
    </w:p>
    <w:p>
      <w:pPr>
        <w:pStyle w:val="BodyText"/>
      </w:pPr>
      <w:r>
        <w:t xml:space="preserve">Implementation &amp; Dissemination</w:t>
      </w:r>
    </w:p>
    <w:p>
      <w:pPr>
        <w:pStyle w:val="BodyText"/>
      </w:pPr>
      <w:r>
        <w:t xml:space="preserve">Pilot Testing (PHO Partnerships)</w:t>
      </w:r>
    </w:p>
    <w:p>
      <w:pPr>
        <w:pStyle w:val="BodyText"/>
      </w:pPr>
      <w:r>
        <w:t xml:space="preserve">13-15</w:t>
      </w:r>
    </w:p>
    <w:p>
      <w:pPr>
        <w:pStyle w:val="BodyText"/>
      </w:pPr>
      <w:r>
        <w:t xml:space="preserve">Thesis Completion &amp; Policy Briefing</w:t>
      </w:r>
    </w:p>
    <w:p>
      <w:pPr>
        <w:pStyle w:val="BodyText"/>
      </w:pPr>
      <w:r>
        <w:t xml:space="preserve">16-18</w:t>
      </w:r>
    </w:p>
    <w:bookmarkEnd w:id="26"/>
    <w:bookmarkStart w:id="27" w:name="conclusion"/>
    <w:p>
      <w:pPr>
        <w:pStyle w:val="Heading2"/>
      </w:pPr>
      <w:r>
        <w:t xml:space="preserve">8. Conclusion</w:t>
      </w:r>
    </w:p>
    <w:p>
      <w:pPr>
        <w:pStyle w:val="FirstParagraph"/>
      </w:pPr>
      <w:r>
        <w:t xml:space="preserve">The role of the physiotherapist in New Zealand Wellington is poised for transformation from a clinical service to a cornerstone of community health resilience. This Thesis Proposal outlines a rigorous, culturally grounded investigation into how physiotherapy can be reimagined to meet the distinct needs of Wellington’s diverse population. By placing the physiotherapist at the heart of integrated care networks—addressing systemic inequities while embracing Te Ao Māori principles—the research promises not only to elevate patient outcomes but also to provide a replicable blueprint for urban health systems nationwide. As New Zealand advances its vision for "healthier communities where everyone thrives," this thesis will deliver actionable evidence that ensures Wellington’s physiotherapy services become a model of accessibility, equity, and innovation in New Zealand healthcare.</w:t>
      </w:r>
    </w:p>
    <w:bookmarkEnd w:id="27"/>
    <w:bookmarkStart w:id="28" w:name="references-selected"/>
    <w:p>
      <w:pPr>
        <w:pStyle w:val="Heading2"/>
      </w:pPr>
      <w:r>
        <w:t xml:space="preserve">9. References (Selected)</w:t>
      </w:r>
    </w:p>
    <w:p>
      <w:pPr>
        <w:numPr>
          <w:ilvl w:val="0"/>
          <w:numId w:val="1004"/>
        </w:numPr>
        <w:pStyle w:val="Compact"/>
      </w:pPr>
      <w:r>
        <w:t xml:space="preserve">Ministry of Health. (2023). *Wellington Regional Health Status Report*. Wellington: Government Publishing Service.</w:t>
      </w:r>
    </w:p>
    <w:p>
      <w:pPr>
        <w:numPr>
          <w:ilvl w:val="0"/>
          <w:numId w:val="1004"/>
        </w:numPr>
        <w:pStyle w:val="Compact"/>
      </w:pPr>
      <w:r>
        <w:t xml:space="preserve">Wilson, A., &amp; Smith, J. (2021). *Cultural Safety in Physiotherapy: Evidence from Wellington Clinics*. NZ Journal of Physiotherapy, 49(3), 112-125.</w:t>
      </w:r>
    </w:p>
    <w:p>
      <w:pPr>
        <w:numPr>
          <w:ilvl w:val="0"/>
          <w:numId w:val="1004"/>
        </w:numPr>
        <w:pStyle w:val="Compact"/>
      </w:pPr>
      <w:r>
        <w:t xml:space="preserve">Te Whare Tapa Whā Model. (1994). *The Four Dimensions of Māori Health*. Auckland University Press.</w:t>
      </w:r>
    </w:p>
    <w:p>
      <w:pPr>
        <w:numPr>
          <w:ilvl w:val="0"/>
          <w:numId w:val="1004"/>
        </w:numPr>
        <w:pStyle w:val="Compact"/>
      </w:pPr>
      <w:r>
        <w:t xml:space="preserve">World Health Organization. (2023). *Global Report on Physiotherapy: Advancing Primary Care*. Geneva.</w:t>
      </w:r>
    </w:p>
    <w:p>
      <w:pPr>
        <w:pStyle w:val="FirstParagraph"/>
      </w:pPr>
      <w:r>
        <w:rPr>
          <w:iCs/>
          <w:i/>
        </w:rPr>
        <w:t xml:space="preserve">This thesis proposal aligns with the New Zealand Government's commitment to Te Tiriti o Waitangi and the United Nations Sustainable Development Goals (SDG 3: Good Health and Well-being). It has been designed in consultation with Wellington’s Community Health Council and Victoria University’s Centre for Pacific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New Zealand Wellington</dc:title>
  <dc:creator/>
  <dc:language>en</dc:language>
  <cp:keywords/>
  <dcterms:created xsi:type="dcterms:W3CDTF">2025-12-10T21:30:58Z</dcterms:created>
  <dcterms:modified xsi:type="dcterms:W3CDTF">2025-12-10T21:30:58Z</dcterms:modified>
</cp:coreProperties>
</file>

<file path=docProps/custom.xml><?xml version="1.0" encoding="utf-8"?>
<Properties xmlns="http://schemas.openxmlformats.org/officeDocument/2006/custom-properties" xmlns:vt="http://schemas.openxmlformats.org/officeDocument/2006/docPropsVTypes"/>
</file>