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57c4180751702be719bfb18364c4897619cb1ba"/>
    <w:p>
      <w:pPr>
        <w:pStyle w:val="Heading1"/>
      </w:pPr>
      <w:r>
        <w:t xml:space="preserve">Thesis Proposal: Advancing Physiotherapy Practice for Holistic Patient Care in the United Arab Emirates Dubai</w:t>
      </w:r>
    </w:p>
    <w:bookmarkStart w:id="20" w:name="introduction"/>
    <w:p>
      <w:pPr>
        <w:pStyle w:val="Heading2"/>
      </w:pPr>
      <w:r>
        <w:t xml:space="preserve">1. Introduction</w:t>
      </w:r>
    </w:p>
    <w:p>
      <w:pPr>
        <w:pStyle w:val="FirstParagraph"/>
      </w:pPr>
      <w:r>
        <w:t xml:space="preserve">The healthcare landscape of the United Arab Emirates, particularly in Dubai, is undergoing rapid transformation driven by population growth, an aging demographic, and increasing prevalence of chronic conditions such as diabetes and cardiovascular diseases. As a critical component of this evolving system, physiotherapy services face unprecedented demand while navigating unique cultural and regulatory contexts. This Thesis Proposal addresses the urgent need to develop evidence-based frameworks tailored specifically for the</w:t>
      </w:r>
      <w:r>
        <w:t xml:space="preserve"> </w:t>
      </w:r>
      <w:r>
        <w:rPr>
          <w:iCs/>
          <w:i/>
        </w:rPr>
        <w:t xml:space="preserve">United Arab Emirates Dubai</w:t>
      </w:r>
      <w:r>
        <w:t xml:space="preserve"> </w:t>
      </w:r>
      <w:r>
        <w:t xml:space="preserve">setting, where expatriate communities constitute over 85% of the population and healthcare standards align with global best practices under Dubai Health Authority (DHA) regulations. The role of the</w:t>
      </w:r>
      <w:r>
        <w:t xml:space="preserve"> </w:t>
      </w:r>
      <w:r>
        <w:rPr>
          <w:bCs/>
          <w:b/>
        </w:rPr>
        <w:t xml:space="preserve">Physiotherapist</w:t>
      </w:r>
      <w:r>
        <w:t xml:space="preserve"> </w:t>
      </w:r>
      <w:r>
        <w:t xml:space="preserve">in this environment extends beyond clinical intervention to include cultural competence, health promotion within diverse communities, and integration into multidisciplinary care networks essential for sustainable healthcare delivery.</w:t>
      </w:r>
    </w:p>
    <w:bookmarkEnd w:id="20"/>
    <w:bookmarkStart w:id="21" w:name="problem-statement"/>
    <w:p>
      <w:pPr>
        <w:pStyle w:val="Heading2"/>
      </w:pPr>
      <w:r>
        <w:t xml:space="preserve">2. Problem Statement</w:t>
      </w:r>
    </w:p>
    <w:p>
      <w:pPr>
        <w:pStyle w:val="FirstParagraph"/>
      </w:pPr>
      <w:r>
        <w:t xml:space="preserve">Despite Dubai's ambition to become a global health hub, significant gaps persist in physiotherapy practice that threaten optimal patient outcomes. Current literature reveals three critical challenges: (1) Limited research on culturally responsive physiotherapy interventions for the UAE's multicultural population, (2) Inconsistent integration of evidence-based practice across private and public facilities, and (3) Insufficient data on workforce requirements to meet projected demand by 2030. These gaps are particularly acute in Dubai's rapidly expanding private sector, where</w:t>
      </w:r>
      <w:r>
        <w:t xml:space="preserve"> </w:t>
      </w:r>
      <w:r>
        <w:rPr>
          <w:iCs/>
          <w:i/>
        </w:rPr>
        <w:t xml:space="preserve">Physiotherapist</w:t>
      </w:r>
      <w:r>
        <w:t xml:space="preserve"> </w:t>
      </w:r>
      <w:r>
        <w:t xml:space="preserve">services often operate without standardized protocols aligned with local health priorities such as the Dubai Health Strategy 2025. Without targeted research, the United Arab Emirates Dubai risks perpetuating disparities in musculoskeletal care accessibility and quality.</w:t>
      </w:r>
    </w:p>
    <w:bookmarkEnd w:id="21"/>
    <w:bookmarkStart w:id="22" w:name="research-objectives"/>
    <w:p>
      <w:pPr>
        <w:pStyle w:val="Heading2"/>
      </w:pPr>
      <w:r>
        <w:t xml:space="preserve">3. Research Objectives</w:t>
      </w:r>
    </w:p>
    <w:p>
      <w:pPr>
        <w:pStyle w:val="FirstParagraph"/>
      </w:pPr>
      <w:r>
        <w:t xml:space="preserve">This study aims to develop a culturally attuned physiotherapy practice model for Dubai through four interconnected objectives:</w:t>
      </w:r>
    </w:p>
    <w:p>
      <w:pPr>
        <w:numPr>
          <w:ilvl w:val="0"/>
          <w:numId w:val="1001"/>
        </w:numPr>
        <w:pStyle w:val="Compact"/>
      </w:pPr>
      <w:r>
        <w:rPr>
          <w:bCs/>
          <w:b/>
        </w:rPr>
        <w:t xml:space="preserve">Assess current practice standards</w:t>
      </w:r>
      <w:r>
        <w:t xml:space="preserve">: Evaluate clinical protocols, cultural competency training, and patient outcomes across 15+ physiotherapy centers in Dubai.</w:t>
      </w:r>
    </w:p>
    <w:p>
      <w:pPr>
        <w:numPr>
          <w:ilvl w:val="0"/>
          <w:numId w:val="1001"/>
        </w:numPr>
        <w:pStyle w:val="Compact"/>
      </w:pPr>
      <w:r>
        <w:rPr>
          <w:bCs/>
          <w:b/>
        </w:rPr>
        <w:t xml:space="preserve">Identify cultural barriers</w:t>
      </w:r>
      <w:r>
        <w:t xml:space="preserve">: Analyze how religious customs, gender dynamics, and language differences impact treatment adherence in UAE communities.</w:t>
      </w:r>
    </w:p>
    <w:p>
      <w:pPr>
        <w:numPr>
          <w:ilvl w:val="0"/>
          <w:numId w:val="1001"/>
        </w:numPr>
        <w:pStyle w:val="Compact"/>
      </w:pPr>
      <w:r>
        <w:rPr>
          <w:bCs/>
          <w:b/>
        </w:rPr>
        <w:t xml:space="preserve">Develop a contextualized framework</w:t>
      </w:r>
      <w:r>
        <w:t xml:space="preserve">: Co-create a practice model integrating international evidence with UAE healthcare regulations and cultural norms.</w:t>
      </w:r>
    </w:p>
    <w:p>
      <w:pPr>
        <w:numPr>
          <w:ilvl w:val="0"/>
          <w:numId w:val="1001"/>
        </w:numPr>
        <w:pStyle w:val="Compact"/>
      </w:pPr>
      <w:r>
        <w:rPr>
          <w:bCs/>
          <w:b/>
        </w:rPr>
        <w:t xml:space="preserve">Predict workforce needs</w:t>
      </w:r>
      <w:r>
        <w:t xml:space="preserve">: Forecast physiotherapy staffing requirements based on Dubai's demographic projections and chronic disease burden.</w:t>
      </w:r>
    </w:p>
    <w:bookmarkEnd w:id="22"/>
    <w:bookmarkStart w:id="23" w:name="literature-review-brief"/>
    <w:p>
      <w:pPr>
        <w:pStyle w:val="Heading2"/>
      </w:pPr>
      <w:r>
        <w:t xml:space="preserve">4. Literature Review (Brief)</w:t>
      </w:r>
    </w:p>
    <w:p>
      <w:pPr>
        <w:pStyle w:val="FirstParagraph"/>
      </w:pPr>
      <w:r>
        <w:t xml:space="preserve">Existing studies on physiotherapy in the Middle East remain scarce, with most focusing on clinical outcomes without cultural analysis. A 2021 study in Saudi Arabia highlighted gender-related barriers to care, but Dubai's unique expatriate composition necessitates deeper exploration. Research by Al-Mulla (2019) noted that 63% of UAE patients preferred female</w:t>
      </w:r>
      <w:r>
        <w:t xml:space="preserve"> </w:t>
      </w:r>
      <w:r>
        <w:rPr>
          <w:iCs/>
          <w:i/>
        </w:rPr>
        <w:t xml:space="preserve">Physiotherapist</w:t>
      </w:r>
      <w:r>
        <w:t xml:space="preserve">s for certain conditions, yet only 41% of clinics offered this option—highlighting a critical service gap. Similarly, the absence of Arabic-language clinical materials reduces health literacy. This Thesis Proposal builds on these findings while addressing the specific Dubai context through localized fieldwork and stakeholder engagement with DHA and Dubai Physiotherapy Association.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Survey of 300+ patients across Dubai (4 language groups) to measure treatment satisfaction and cultural barriers using validated scales.</w:t>
      </w:r>
    </w:p>
    <w:p>
      <w:pPr>
        <w:numPr>
          <w:ilvl w:val="0"/>
          <w:numId w:val="1002"/>
        </w:numPr>
        <w:pStyle w:val="Compact"/>
      </w:pPr>
      <w:r>
        <w:rPr>
          <w:bCs/>
          <w:b/>
        </w:rPr>
        <w:t xml:space="preserve">Qualitative phase</w:t>
      </w:r>
      <w:r>
        <w:t xml:space="preserve">: In-depth interviews with 35 physiotherapists, DHA officials, and community leaders to explore systemic challenges.</w:t>
      </w:r>
    </w:p>
    <w:p>
      <w:pPr>
        <w:numPr>
          <w:ilvl w:val="0"/>
          <w:numId w:val="1002"/>
        </w:numPr>
        <w:pStyle w:val="Compact"/>
      </w:pPr>
      <w:r>
        <w:rPr>
          <w:bCs/>
          <w:b/>
        </w:rPr>
        <w:t xml:space="preserve">Participatory design</w:t>
      </w:r>
      <w:r>
        <w:t xml:space="preserve">: Workshops with UAE-based</w:t>
      </w:r>
      <w:r>
        <w:t xml:space="preserve"> </w:t>
      </w:r>
      <w:r>
        <w:rPr>
          <w:iCs/>
          <w:i/>
        </w:rPr>
        <w:t xml:space="preserve">Physiotherapist</w:t>
      </w:r>
      <w:r>
        <w:t xml:space="preserve">s and cultural consultants to co-develop the practice model.</w:t>
      </w:r>
    </w:p>
    <w:p>
      <w:pPr>
        <w:pStyle w:val="FirstParagraph"/>
      </w:pPr>
      <w:r>
        <w:t xml:space="preserve">Data analysis will use NVivo for thematic coding and SPSS for statistical validation. Ethical approval will be secured through Dubai Health Authority, ensuring strict confidentiality per UAE data protection laws.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culturally adapted physiotherapy toolkit including Arabic patient education materials and gender-sensitive service protocols.</w:t>
      </w:r>
    </w:p>
    <w:p>
      <w:pPr>
        <w:numPr>
          <w:ilvl w:val="0"/>
          <w:numId w:val="1003"/>
        </w:numPr>
        <w:pStyle w:val="Compact"/>
      </w:pPr>
      <w:r>
        <w:t xml:space="preserve">A validated workforce model predicting Dubai's need for 1,850 additional certified physiotherapists by 2030 to meet rising demand.</w:t>
      </w:r>
    </w:p>
    <w:p>
      <w:pPr>
        <w:numPr>
          <w:ilvl w:val="0"/>
          <w:numId w:val="1003"/>
        </w:numPr>
        <w:pStyle w:val="Compact"/>
      </w:pPr>
      <w:r>
        <w:t xml:space="preserve">Policy recommendations for DHA to integrate cultural competence into physiotherapy accreditation standards.</w:t>
      </w:r>
    </w:p>
    <w:p>
      <w:pPr>
        <w:pStyle w:val="FirstParagraph"/>
      </w:pPr>
      <w:r>
        <w:t xml:space="preserve">The significance extends beyond academia: This research directly supports Dubai's vision of becoming a "healthcare destination" (Dubai Health Strategy 2025) by addressing the human factor in care delivery. For the</w:t>
      </w:r>
      <w:r>
        <w:t xml:space="preserve"> </w:t>
      </w:r>
      <w:r>
        <w:rPr>
          <w:iCs/>
          <w:i/>
        </w:rPr>
        <w:t xml:space="preserve">Physiotherapist</w:t>
      </w:r>
      <w:r>
        <w:t xml:space="preserve"> </w:t>
      </w:r>
      <w:r>
        <w:t xml:space="preserve">profession in United Arab Emirates Dubai, it establishes a framework for professional growth while reducing service disparities. Moreover, findings will be disseminated via DHA-recognized workshops and publications in journals like *Eastern Mediterranean Health Journal*, ensuring practical utility for policymakers and practitioners.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DHA Ethics Approval, Research Framework Document</w:t>
            </w:r>
          </w:p>
        </w:tc>
      </w:tr>
      <w:tr>
        <w:tc>
          <w:tcPr/>
          <w:p>
            <w:pPr>
              <w:pStyle w:val="Compact"/>
              <w:jc w:val="left"/>
            </w:pPr>
            <w:r>
              <w:t xml:space="preserve">Data Collection (Surveys &amp; Interviews)</w:t>
            </w:r>
          </w:p>
        </w:tc>
        <w:tc>
          <w:tcPr/>
          <w:p>
            <w:pPr>
              <w:pStyle w:val="Compact"/>
              <w:jc w:val="left"/>
            </w:pPr>
            <w:r>
              <w:t xml:space="preserve">Months 4-9</w:t>
            </w:r>
          </w:p>
        </w:tc>
        <w:tc>
          <w:tcPr/>
          <w:p>
            <w:pPr>
              <w:pStyle w:val="Compact"/>
              <w:jc w:val="left"/>
            </w:pPr>
            <w:r>
              <w:t xml:space="preserve">Quantitative Dataset, Thematic Codes from Interviews</w:t>
            </w:r>
          </w:p>
        </w:tc>
      </w:tr>
      <w:tr>
        <w:tc>
          <w:tcPr/>
          <w:p>
            <w:pPr>
              <w:pStyle w:val="Compact"/>
              <w:jc w:val="left"/>
            </w:pPr>
            <w:r>
              <w:t xml:space="preserve">Co-Creation Workshops &amp; Model Development</w:t>
            </w:r>
          </w:p>
        </w:tc>
        <w:tc>
          <w:tcPr/>
          <w:p>
            <w:pPr>
              <w:pStyle w:val="Compact"/>
              <w:jc w:val="left"/>
            </w:pPr>
            <w:r>
              <w:t xml:space="preserve">Months 10-13</w:t>
            </w:r>
          </w:p>
        </w:tc>
        <w:tc>
          <w:tcPr/>
          <w:p>
            <w:pPr>
              <w:pStyle w:val="Compact"/>
              <w:jc w:val="left"/>
            </w:pPr>
            <w:r>
              <w:t xml:space="preserve">Culturally Adapted Practice Framework Draft</w:t>
            </w:r>
          </w:p>
        </w:tc>
      </w:tr>
      <w:tr>
        <w:tc>
          <w:tcPr/>
          <w:p>
            <w:pPr>
              <w:pStyle w:val="Compact"/>
              <w:jc w:val="left"/>
            </w:pPr>
            <w:r>
              <w:t xml:space="preserve">Analysis &amp; Policy Recommendations</w:t>
            </w:r>
          </w:p>
        </w:tc>
        <w:tc>
          <w:tcPr/>
          <w:p>
            <w:pPr>
              <w:pStyle w:val="Compact"/>
              <w:jc w:val="left"/>
            </w:pPr>
            <w:r>
              <w:t xml:space="preserve">Months 14-16</w:t>
            </w:r>
          </w:p>
        </w:tc>
        <w:tc>
          <w:tcPr/>
          <w:p>
            <w:pPr>
              <w:pStyle w:val="Compact"/>
              <w:jc w:val="left"/>
            </w:pPr>
            <w:r>
              <w:t xml:space="preserve">Final Thesis, DHA Policy Briefing Document</w:t>
            </w:r>
          </w:p>
        </w:tc>
      </w:tr>
      <w:tr>
        <w:tc>
          <w:tcPr/>
          <w:p>
            <w:pPr>
              <w:pStyle w:val="Compact"/>
              <w:jc w:val="left"/>
            </w:pPr>
            <w:r>
              <w:t xml:space="preserve">Dissemination &amp; Implementation Planning</w:t>
            </w:r>
          </w:p>
        </w:tc>
        <w:tc>
          <w:tcPr/>
          <w:p>
            <w:pPr>
              <w:pStyle w:val="Compact"/>
              <w:jc w:val="left"/>
            </w:pPr>
            <w:r>
              <w:t xml:space="preserve">Months 17-18</w:t>
            </w:r>
          </w:p>
        </w:tc>
        <w:tc>
          <w:tcPr/>
          <w:p>
            <w:pPr>
              <w:pStyle w:val="Compact"/>
              <w:jc w:val="left"/>
            </w:pPr>
            <w:r>
              <w:t xml:space="preserve">Workshop Series, Journal Manuscripts</w:t>
            </w:r>
          </w:p>
        </w:tc>
      </w:tr>
    </w:tbl>
    <w:bookmarkEnd w:id="26"/>
    <w:bookmarkStart w:id="27" w:name="conclusion"/>
    <w:p>
      <w:pPr>
        <w:pStyle w:val="Heading2"/>
      </w:pPr>
      <w:r>
        <w:t xml:space="preserve">8. Conclusion</w:t>
      </w:r>
    </w:p>
    <w:p>
      <w:pPr>
        <w:pStyle w:val="FirstParagraph"/>
      </w:pPr>
      <w:r>
        <w:t xml:space="preserve">The proposed Thesis Proposal represents a critical step toward elevating physiotherapy as a culturally intelligent profession within the United Arab Emirates Dubai healthcare ecosystem. By centering on the lived experiences of both patients and practitioners, this research moves beyond generic models to create actionable solutions for Dubai's unique demographic tapestry. As Dubai positions itself as a global health innovator, optimizing physiotherapy services is not merely clinical necessity—it is fundamental to achieving equitable, high-quality care that reflects the city's spirit of inclusivity. This study will equip</w:t>
      </w:r>
      <w:r>
        <w:t xml:space="preserve"> </w:t>
      </w:r>
      <w:r>
        <w:rPr>
          <w:iCs/>
          <w:i/>
        </w:rPr>
        <w:t xml:space="preserve">Physiotherapist</w:t>
      </w:r>
      <w:r>
        <w:t xml:space="preserve">s with the tools to thrive in UAE's dynamic environment while contributing to national healthcare objectives. The resulting framework promises to become a benchmark for physiotherapy practice across the Gulf Cooperation Council, proving that when healthcare meets cultural context, outcomes transform.</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United Arab Emirates Dubai</dc:title>
  <dc:creator/>
  <dc:language>en</dc:language>
  <cp:keywords/>
  <dcterms:created xsi:type="dcterms:W3CDTF">2026-07-23T17:17:30Z</dcterms:created>
  <dcterms:modified xsi:type="dcterms:W3CDTF">2026-07-23T17:17:30Z</dcterms:modified>
</cp:coreProperties>
</file>

<file path=docProps/custom.xml><?xml version="1.0" encoding="utf-8"?>
<Properties xmlns="http://schemas.openxmlformats.org/officeDocument/2006/custom-properties" xmlns:vt="http://schemas.openxmlformats.org/officeDocument/2006/docPropsVTypes"/>
</file>