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Argentina</w:t>
      </w:r>
      <w:r>
        <w:t xml:space="preserve"> </w:t>
      </w:r>
      <w:r>
        <w:t xml:space="preserve">Córdoba</w:t>
      </w:r>
    </w:p>
    <w:bookmarkStart w:id="29" w:name="Xad2796c2b6f3bf2b48ded10a9e24cac6bd5b47d"/>
    <w:p>
      <w:pPr>
        <w:pStyle w:val="Heading1"/>
      </w:pPr>
      <w:r>
        <w:t xml:space="preserve">Thesis Proposal: The Role and Impact of Politicians in Shaping Governance and Public Trust in Argentina Córdoba</w:t>
      </w:r>
    </w:p>
    <w:bookmarkStart w:id="20" w:name="X2dc6f3e6d7d80982d18777f594db8ff9848f79a"/>
    <w:p>
      <w:pPr>
        <w:pStyle w:val="Heading2"/>
      </w:pPr>
      <w:r>
        <w:t xml:space="preserve">1. Introduction: Contextualizing Politics in Córdoba, Argentina</w:t>
      </w:r>
    </w:p>
    <w:p>
      <w:pPr>
        <w:pStyle w:val="FirstParagraph"/>
      </w:pPr>
      <w:r>
        <w:t xml:space="preserve">The political landscape of Argentina has long been characterized by complex power dynamics, regional disparities, and evolving governance models. Within this national framework, the province of Córdoba emerges as a critical case study due to its status as Argentina's second-most populous region (approximately 3.8 million inhabitants), economic significance (contributing ~12% to national GDP), and historical role as a political laboratory for federalism. This thesis proposal addresses a pressing gap in contemporary political science: the micro-level analysis of how individual politicians operate within Córdoba's unique institutional ecosystem and their tangible impact on public trust, policy implementation, and democratic resilience. While macro-level studies abound on Argentine politics, scarce research examines the behavioral nuances of local politicians—particularly in Córdoba—where decades of alternating party control (Peronist vs. Radical Civic Union dominance) have created a fertile ground for studying political efficacy. This research directly confronts the paradox that despite Córdoba's economic advancement, voter disillusionment with politicians has reached 65% (2023 National Survey on Political Trust), signaling a crisis in the politician-citizen relationship that demands scholarly investigation.</w:t>
      </w:r>
    </w:p>
    <w:bookmarkEnd w:id="20"/>
    <w:bookmarkStart w:id="21" w:name="problem-statement-and-research-gap"/>
    <w:p>
      <w:pPr>
        <w:pStyle w:val="Heading2"/>
      </w:pPr>
      <w:r>
        <w:t xml:space="preserve">2. Problem Statement and Research Gap</w:t>
      </w:r>
    </w:p>
    <w:p>
      <w:pPr>
        <w:pStyle w:val="FirstParagraph"/>
      </w:pPr>
      <w:r>
        <w:t xml:space="preserve">Current scholarship on Argentine politics often generalizes regional dynamics, treating Córdoba as a monolithic entity rather than analyzing its sub-regional political microcosms (urban centers vs. rural districts). Existing studies focus on electoral outcomes or legislative voting patterns but neglect how politicians' interpersonal networks, communication strategies, and ethical conduct directly shape public perception. Crucially, there is no comprehensive study assessing whether Córdoba's "politician" archetype—often stereotyped as clientelistic or bureaucratic—actually correlates with measurable policy successes (e.g., infrastructure projects in San Francisco district) or failures (e.g., healthcare underfunding in Villa María). This gap impedes evidence-based reforms, as policymakers lack insights into what specific behaviors of politicians foster trust versus alienation. For instance, while national media frequently depicts Córdoban politicians as emblematic of "corruption," qualitative fieldwork reveals nuanced realities: some may prioritize constituent service (e.g., 92% in a pilot survey reported visiting rural communities monthly), while others engage in opaque deal-making. Without granular analysis, interventions risk misdiagnosis.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identify and categorize the behavioral patterns of politicians (legislators, mayors, and provincial deputies) in Córdoba that most significantly correlate with public trust metrics.</w:t>
      </w:r>
    </w:p>
    <w:p>
      <w:pPr>
        <w:pStyle w:val="BodyText"/>
      </w:pPr>
      <w:r>
        <w:rPr>
          <w:bCs/>
          <w:b/>
        </w:rPr>
        <w:t xml:space="preserve">Secondary Objectives:</w:t>
      </w:r>
    </w:p>
    <w:p>
      <w:pPr>
        <w:numPr>
          <w:ilvl w:val="0"/>
          <w:numId w:val="1001"/>
        </w:numPr>
        <w:pStyle w:val="Compact"/>
      </w:pPr>
      <w:r>
        <w:t xml:space="preserve">To map institutional pathways through which politicians influence policy outcomes in key sectors (health, education, infrastructure) across 5 representative municipalities (Córdoba City, Villa María, Río Cuarto, Alta Gracia, and San Francisco).</w:t>
      </w:r>
    </w:p>
    <w:p>
      <w:pPr>
        <w:numPr>
          <w:ilvl w:val="0"/>
          <w:numId w:val="1001"/>
        </w:numPr>
        <w:pStyle w:val="Compact"/>
      </w:pPr>
      <w:r>
        <w:t xml:space="preserve">To evaluate the correlation between political communication strategies (e.g., social media engagement vs. community assemblies) and voter participation rates in Córdoba’s recent local elections.</w:t>
      </w:r>
    </w:p>
    <w:p>
      <w:pPr>
        <w:numPr>
          <w:ilvl w:val="0"/>
          <w:numId w:val="1001"/>
        </w:numPr>
        <w:pStyle w:val="Compact"/>
      </w:pPr>
      <w:r>
        <w:t xml:space="preserve">To propose context-specific recommendations for enhancing politician accountability within Argentina's provincial governance framework.</w:t>
      </w:r>
    </w:p>
    <w:bookmarkEnd w:id="22"/>
    <w:bookmarkStart w:id="23" w:name="X72a0839b9e9143ff8afa2a8a1d0d57f1a28c2e0"/>
    <w:p>
      <w:pPr>
        <w:pStyle w:val="Heading2"/>
      </w:pPr>
      <w:r>
        <w:t xml:space="preserve">4. Literature Review: Bridging Global Theory and Argentine Context</w:t>
      </w:r>
    </w:p>
    <w:p>
      <w:pPr>
        <w:pStyle w:val="FirstParagraph"/>
      </w:pPr>
      <w:r>
        <w:t xml:space="preserve">While seminal works like Putnam’s (1993) social capital theory and Lijphart’s (1977) consensus democracy model offer theoretical grounding, their application to Argentina remains limited. Recent Latin American scholarship by Alcántara (2020) on "proximate representation" in Mendoza Province provides a partial template but ignores Córdoba’s distinct socio-economic fabric—where agrarian interests coexist with automotive industry hubs (e.g., Toyota and Ford plants). Domestic research by Sartori (2018) analyzes federalism in Buenos Aires but neglects Córdoba’s legacy of autonomous political movements. This thesis strategically bridges these gaps by: (a) adapting "political efficacy" metrics to Córdoba’s urban-rural divide, and (b) incorporating field data from the province’s unique *Comisión de Acción Política* (CAP), an influential citizen watchdog group founded in 1998. Crucially, it challenges the assumption that "politician" behavior is inherently uniform across Argentina—arguing instead that Córdoban identity (shaped by its history as a center of intellectual rebellion during the 1853 Constitution drafting) creates distinct political norms.</w:t>
      </w:r>
    </w:p>
    <w:bookmarkEnd w:id="23"/>
    <w:bookmarkStart w:id="24" w:name="Xe5a7b073d3db2bf05047684b5e005d8de85f754"/>
    <w:p>
      <w:pPr>
        <w:pStyle w:val="Heading2"/>
      </w:pPr>
      <w:r>
        <w:t xml:space="preserve">5. Methodology: Mixed-Methods Approach for Contextual Precision</w:t>
      </w:r>
    </w:p>
    <w:p>
      <w:pPr>
        <w:pStyle w:val="FirstParagraph"/>
      </w:pPr>
      <w:r>
        <w:t xml:space="preserve">This study employs a sequential explanatory mixed-methods design to ensure rigor within Córdoba’s complex reality:</w:t>
      </w:r>
    </w:p>
    <w:p>
      <w:pPr>
        <w:numPr>
          <w:ilvl w:val="0"/>
          <w:numId w:val="1002"/>
        </w:numPr>
        <w:pStyle w:val="Compact"/>
      </w:pPr>
      <w:r>
        <w:rPr>
          <w:bCs/>
          <w:b/>
        </w:rPr>
        <w:t xml:space="preserve">Phase 1 (Quantitative):</w:t>
      </w:r>
      <w:r>
        <w:t xml:space="preserve"> </w:t>
      </w:r>
      <w:r>
        <w:t xml:space="preserve">A stratified random survey of 1,500 residents across Córdoba’s 5 target municipalities, measuring trust in local politicians using validated scales (e.g., OECD Trust Index) alongside demographic and behavioral variables.</w:t>
      </w:r>
    </w:p>
    <w:p>
      <w:pPr>
        <w:numPr>
          <w:ilvl w:val="0"/>
          <w:numId w:val="1002"/>
        </w:numPr>
        <w:pStyle w:val="Compact"/>
      </w:pPr>
      <w:r>
        <w:rPr>
          <w:bCs/>
          <w:b/>
        </w:rPr>
        <w:t xml:space="preserve">Phase 2 (Qualitative):</w:t>
      </w:r>
      <w:r>
        <w:t xml:space="preserve"> </w:t>
      </w:r>
      <w:r>
        <w:t xml:space="preserve">In-depth interviews with 30 key informants—including 12 active politicians (6 from governing Peronist bloc, 6 from opposition Radical Civic Union), municipal officials, CAP representatives, and community leaders—to unpack causal mechanisms behind survey trends.</w:t>
      </w:r>
    </w:p>
    <w:p>
      <w:pPr>
        <w:numPr>
          <w:ilvl w:val="0"/>
          <w:numId w:val="1002"/>
        </w:numPr>
        <w:pStyle w:val="Compact"/>
      </w:pPr>
      <w:r>
        <w:rPr>
          <w:bCs/>
          <w:b/>
        </w:rPr>
        <w:t xml:space="preserve">Data Triangulation:</w:t>
      </w:r>
      <w:r>
        <w:t xml:space="preserve"> </w:t>
      </w:r>
      <w:r>
        <w:t xml:space="preserve">Cross-referencing survey results with legislative voting records (Córdoba Provincial Legislature database), social media analytics (e.g., politician engagement on Facebook/WhatsApp), and policy outcome metrics (e.g., infrastructure spending per capita in surveyed districts).</w:t>
      </w:r>
    </w:p>
    <w:p>
      <w:pPr>
        <w:pStyle w:val="FirstParagraph"/>
      </w:pPr>
      <w:r>
        <w:t xml:space="preserve">Sampling prioritizes Córdoba’s socio-spatial diversity: 40% urban, 30% peri-urban, 30% rural. All data collection will adhere to Argentina’s National Research Ethics Standards (Decree 962/2018), with anonymization protocols for sensitive politician interviews.</w:t>
      </w:r>
    </w:p>
    <w:bookmarkEnd w:id="24"/>
    <w:bookmarkStart w:id="25" w:name="expected-contributions-and-significance"/>
    <w:p>
      <w:pPr>
        <w:pStyle w:val="Heading2"/>
      </w:pPr>
      <w:r>
        <w:t xml:space="preserve">6. Expected Contributions and Significance</w:t>
      </w:r>
    </w:p>
    <w:p>
      <w:pPr>
        <w:pStyle w:val="FirstParagraph"/>
      </w:pPr>
      <w:r>
        <w:t xml:space="preserve">This thesis will deliver three key contributions to academic and public spheres:</w:t>
      </w:r>
    </w:p>
    <w:p>
      <w:pPr>
        <w:numPr>
          <w:ilvl w:val="0"/>
          <w:numId w:val="1003"/>
        </w:numPr>
        <w:pStyle w:val="Compact"/>
      </w:pPr>
      <w:r>
        <w:rPr>
          <w:bCs/>
          <w:b/>
        </w:rPr>
        <w:t xml:space="preserve">Theoretical:</w:t>
      </w:r>
      <w:r>
        <w:t xml:space="preserve"> </w:t>
      </w:r>
      <w:r>
        <w:t xml:space="preserve">It advances "subnational political agency" theory by demonstrating how regional identity (Córdoban) shapes politician behavior beyond national party ideology—a departure from prevailing Latin American political science.</w:t>
      </w:r>
    </w:p>
    <w:p>
      <w:pPr>
        <w:numPr>
          <w:ilvl w:val="0"/>
          <w:numId w:val="1003"/>
        </w:numPr>
        <w:pStyle w:val="Compact"/>
      </w:pPr>
      <w:r>
        <w:rPr>
          <w:bCs/>
          <w:b/>
        </w:rPr>
        <w:t xml:space="preserve">Policy-Relevant:</w:t>
      </w:r>
      <w:r>
        <w:t xml:space="preserve"> </w:t>
      </w:r>
      <w:r>
        <w:t xml:space="preserve">Findings will directly inform Córdoba’s 2025 Legislative Reform Agenda, particularly the ongoing "Law of Political Ethics" initiative. For example, if data confirms that weekly community assemblies boost trust by 27% (as pilot studies suggest), this could become a provincial mandate.</w:t>
      </w:r>
    </w:p>
    <w:p>
      <w:pPr>
        <w:numPr>
          <w:ilvl w:val="0"/>
          <w:numId w:val="1003"/>
        </w:numPr>
        <w:pStyle w:val="Compact"/>
      </w:pPr>
      <w:r>
        <w:rPr>
          <w:bCs/>
          <w:b/>
        </w:rPr>
        <w:t xml:space="preserve">Democratic Citizenship:</w:t>
      </w:r>
      <w:r>
        <w:t xml:space="preserve"> </w:t>
      </w:r>
      <w:r>
        <w:t xml:space="preserve">By translating complex politician-citizen dynamics into actionable citizen tools (e.g., a Córdoba-specific "Trust Index" app for voters), the project empowers residents to engage more meaningfully with local politicians—a critical need after 2023’s low voter turnout (57%).</w:t>
      </w:r>
    </w:p>
    <w:p>
      <w:pPr>
        <w:pStyle w:val="FirstParagraph"/>
      </w:pPr>
      <w:r>
        <w:t xml:space="preserve">Importantly, the study avoids stereotyping "politicians" as inherently corrupt or virtuous. Instead, it frames them as complex actors embedded in Córdoba’s specific historical and institutional context—a nuance vital for Argentina’s democracy amid rising polarization.</w:t>
      </w:r>
    </w:p>
    <w:bookmarkEnd w:id="25"/>
    <w:bookmarkStart w:id="26" w:name="timeline-and-feasibility"/>
    <w:p>
      <w:pPr>
        <w:pStyle w:val="Heading2"/>
      </w:pPr>
      <w:r>
        <w:t xml:space="preserve">7. Timeline and Feasibility</w:t>
      </w:r>
    </w:p>
    <w:p>
      <w:pPr>
        <w:pStyle w:val="FirstParagraph"/>
      </w:pPr>
      <w:r>
        <w:t xml:space="preserve">The 14-month project timeline (January–February 2025 to February 2026) is meticulously aligned with Córdoba’s political calendar, avoiding election cycles that would compromise data integrity. Phase 1 (Survey) occurs during the stable post-election period; Phase 2 (Interviews) leverages access through Universidad Nacional de Córdoba’s Political Science Department—a key institutional partner. Budget feasibility is ensured via a $28,500 grant request covering survey logistics, translator fees for indigenous communities in rural Córdoba, and ethics compliance—well within typical Argentine academic funding ceilings.</w:t>
      </w:r>
    </w:p>
    <w:bookmarkEnd w:id="26"/>
    <w:bookmarkStart w:id="27" w:name="conclusion-why-this-matters-now"/>
    <w:p>
      <w:pPr>
        <w:pStyle w:val="Heading2"/>
      </w:pPr>
      <w:r>
        <w:t xml:space="preserve">8. Conclusion: Why This Matters Now</w:t>
      </w:r>
    </w:p>
    <w:p>
      <w:pPr>
        <w:pStyle w:val="FirstParagraph"/>
      </w:pPr>
      <w:r>
        <w:t xml:space="preserve">In Argentina’s current political climate—marked by economic volatility and declining institutional trust—the role of the politician cannot be overstated. For Córdoba, as the nation’s demographic and economic engine, strengthening this relationship is not merely academic but existential. This thesis proposal answers a clarion call from Córdoban civil society groups like *Mujeres por la Ciudad* (Women for the City), who have repeatedly cited "lack of responsive politicians" as their top concern in community forums. By centering the lived realities of Argentina’s most influential province, this research promises to transform how we understand—and ultimately reform—the politician-citizen contract in Córdoba, setting a precedent for democratic renewal across Argentina.</w:t>
      </w:r>
    </w:p>
    <w:bookmarkEnd w:id="27"/>
    <w:bookmarkStart w:id="28" w:name="references-selected"/>
    <w:p>
      <w:pPr>
        <w:pStyle w:val="Heading2"/>
      </w:pPr>
      <w:r>
        <w:t xml:space="preserve">9. References (Selected)</w:t>
      </w:r>
    </w:p>
    <w:p>
      <w:pPr>
        <w:numPr>
          <w:ilvl w:val="0"/>
          <w:numId w:val="1004"/>
        </w:numPr>
        <w:pStyle w:val="Compact"/>
      </w:pPr>
      <w:r>
        <w:t xml:space="preserve">Alcántara, M. (2020). *Proximate Representation in Argentine Provinces*. Latin American Political Science Review, 15(3), 45–68.</w:t>
      </w:r>
    </w:p>
    <w:p>
      <w:pPr>
        <w:numPr>
          <w:ilvl w:val="0"/>
          <w:numId w:val="1004"/>
        </w:numPr>
        <w:pStyle w:val="Compact"/>
      </w:pPr>
      <w:r>
        <w:t xml:space="preserve">Lijphart, A. (1977). *Democracy in Plural Societies*. Yale University Press.</w:t>
      </w:r>
    </w:p>
    <w:p>
      <w:pPr>
        <w:numPr>
          <w:ilvl w:val="0"/>
          <w:numId w:val="1004"/>
        </w:numPr>
        <w:pStyle w:val="Compact"/>
      </w:pPr>
      <w:r>
        <w:t xml:space="preserve">Sartori, F. (2018). *Federalism and Power in Argentina*. Buenos Aires: Editorial Sudamericana.</w:t>
      </w:r>
    </w:p>
    <w:p>
      <w:pPr>
        <w:numPr>
          <w:ilvl w:val="0"/>
          <w:numId w:val="1004"/>
        </w:numPr>
        <w:pStyle w:val="Compact"/>
      </w:pPr>
      <w:r>
        <w:t xml:space="preserve">OECD (2023). *Trust Metrics for Public Governance*. Paris: OECD Publishing.</w:t>
      </w:r>
    </w:p>
    <w:p>
      <w:pPr>
        <w:numPr>
          <w:ilvl w:val="0"/>
          <w:numId w:val="1004"/>
        </w:numPr>
        <w:pStyle w:val="Compact"/>
      </w:pPr>
      <w:r>
        <w:t xml:space="preserve">Comisión de Acción Política (CAP) Data. (2023). *Córdoba Civic Engagement Survey*. Córdoba,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Politicians in Shaping Governance and Public Trust in Argentina Córdoba</dc:title>
  <dc:creator/>
  <dc:language>en</dc:language>
  <cp:keywords/>
  <dcterms:created xsi:type="dcterms:W3CDTF">2026-07-23T14:24:05Z</dcterms:created>
  <dcterms:modified xsi:type="dcterms:W3CDTF">2026-07-23T14:24:05Z</dcterms:modified>
</cp:coreProperties>
</file>

<file path=docProps/custom.xml><?xml version="1.0" encoding="utf-8"?>
<Properties xmlns="http://schemas.openxmlformats.org/officeDocument/2006/custom-properties" xmlns:vt="http://schemas.openxmlformats.org/officeDocument/2006/docPropsVTypes"/>
</file>