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Australia</w:t>
      </w:r>
      <w:r>
        <w:t xml:space="preserve"> </w:t>
      </w:r>
      <w:r>
        <w:t xml:space="preserve">Melbourne's</w:t>
      </w:r>
      <w:r>
        <w:t xml:space="preserve"> </w:t>
      </w:r>
      <w:r>
        <w:t xml:space="preserve">Governance</w:t>
      </w:r>
      <w:r>
        <w:t xml:space="preserve"> </w:t>
      </w:r>
      <w:r>
        <w:t xml:space="preserve">Landscape</w:t>
      </w:r>
    </w:p>
    <w:bookmarkStart w:id="29" w:name="X3ca4664cf54e1f2417cfd392cc16a1a2bbd2567"/>
    <w:p>
      <w:pPr>
        <w:pStyle w:val="Heading1"/>
      </w:pPr>
      <w:r>
        <w:t xml:space="preserve">Thesis Proposal: The Evolving Role of Politicians in Australia Melbourne's Governance Landscape</w:t>
      </w:r>
    </w:p>
    <w:bookmarkStart w:id="20" w:name="i.-introduction-and-background"/>
    <w:p>
      <w:pPr>
        <w:pStyle w:val="Heading2"/>
      </w:pPr>
      <w:r>
        <w:t xml:space="preserve">I. Introduction and Background</w:t>
      </w:r>
    </w:p>
    <w:p>
      <w:pPr>
        <w:pStyle w:val="FirstParagraph"/>
      </w:pPr>
      <w:r>
        <w:t xml:space="preserve">The political landscape of Australia Melbourne represents a critical nexus where local governance, state policy, and national interests converge. As the cultural capital of Australia and the economic engine of Victoria, Melbourne's political environment demands nuanced analysis of how a modern</w:t>
      </w:r>
      <w:r>
        <w:t xml:space="preserve"> </w:t>
      </w:r>
      <w:r>
        <w:rPr>
          <w:bCs/>
          <w:b/>
        </w:rPr>
        <w:t xml:space="preserve">Politician</w:t>
      </w:r>
      <w:r>
        <w:t xml:space="preserve"> </w:t>
      </w:r>
      <w:r>
        <w:t xml:space="preserve">navigates complex urban challenges—from housing crises to climate adaptation—within Australia's unique federal system. This</w:t>
      </w:r>
      <w:r>
        <w:t xml:space="preserve"> </w:t>
      </w:r>
      <w:r>
        <w:rPr>
          <w:bCs/>
          <w:b/>
        </w:rPr>
        <w:t xml:space="preserve">Thesis Proposal</w:t>
      </w:r>
      <w:r>
        <w:t xml:space="preserve"> </w:t>
      </w:r>
      <w:r>
        <w:t xml:space="preserve">addresses a significant gap in contemporary political science: the systematic examination of Melbourne-based politicians' evolving strategies in an era of rapid urbanization, digital communication, and heightened public scrutiny. While extensive research exists on Australian national politics, there remains limited focus on the micro-dynamics shaping decision-making within Australia's most populous city. This study will position Melbourne as a vital case study to understand how local political actors influence policy outcomes across multiple governance tiers.</w:t>
      </w:r>
    </w:p>
    <w:bookmarkEnd w:id="20"/>
    <w:bookmarkStart w:id="21" w:name="ii.-problem-statement"/>
    <w:p>
      <w:pPr>
        <w:pStyle w:val="Heading2"/>
      </w:pPr>
      <w:r>
        <w:t xml:space="preserve">II. Problem Statement</w:t>
      </w:r>
    </w:p>
    <w:p>
      <w:pPr>
        <w:pStyle w:val="FirstParagraph"/>
      </w:pPr>
      <w:r>
        <w:t xml:space="preserve">Contemporary challenges in Australia Melbourne—such as the 2023 Victorian housing affordability crisis, the CBD revitalization debate post-pandemic, and infrastructure delays on the Metro Tunnel project—highlight how politicians' choices directly impact citizens' daily lives. Yet current scholarship often treats Melbourne's political sphere as a mere extension of state or federal frameworks without analyzing its distinctive characteristics. This oversight obscures critical insights into: (1) How Melbourne-based</w:t>
      </w:r>
      <w:r>
        <w:t xml:space="preserve"> </w:t>
      </w:r>
      <w:r>
        <w:rPr>
          <w:bCs/>
          <w:b/>
        </w:rPr>
        <w:t xml:space="preserve">Politician</w:t>
      </w:r>
      <w:r>
        <w:t xml:space="preserve">s balance local community demands against state-wide mandates, (2) The role of digital activism in reshaping constituent engagement, and (3) The influence of multicultural demographics on policy prioritization. Without addressing these dimensions within the specific context of Australia Melbourne, urban governance research risks offering generic solutions to place-specific problems.</w:t>
      </w:r>
    </w:p>
    <w:bookmarkEnd w:id="21"/>
    <w:bookmarkStart w:id="22" w:name="iii.-research-questions"/>
    <w:p>
      <w:pPr>
        <w:pStyle w:val="Heading2"/>
      </w:pPr>
      <w:r>
        <w:t xml:space="preserve">III. Research Questions</w:t>
      </w:r>
    </w:p>
    <w:p>
      <w:pPr>
        <w:numPr>
          <w:ilvl w:val="0"/>
          <w:numId w:val="1001"/>
        </w:numPr>
        <w:pStyle w:val="Compact"/>
      </w:pPr>
      <w:r>
        <w:t xml:space="preserve">How do politicians operating within Australia Melbourne's municipal and state parliaments adapt their policy frameworks in response to hyper-localized issues like public transport equity or neighborhood gentrification?</w:t>
      </w:r>
    </w:p>
    <w:p>
      <w:pPr>
        <w:numPr>
          <w:ilvl w:val="0"/>
          <w:numId w:val="1001"/>
        </w:numPr>
        <w:pStyle w:val="Compact"/>
      </w:pPr>
      <w:r>
        <w:t xml:space="preserve">To what extent does the multicultural fabric of Melbourne (with 40% of residents born overseas) influence a politician's agenda-setting priorities compared to other Australian cities?</w:t>
      </w:r>
    </w:p>
    <w:p>
      <w:pPr>
        <w:numPr>
          <w:ilvl w:val="0"/>
          <w:numId w:val="1001"/>
        </w:numPr>
        <w:pStyle w:val="Compact"/>
      </w:pPr>
      <w:r>
        <w:t xml:space="preserve">How have digital communication tools transformed the relationship between a Melbourne-based</w:t>
      </w:r>
      <w:r>
        <w:t xml:space="preserve"> </w:t>
      </w:r>
      <w:r>
        <w:rPr>
          <w:bCs/>
          <w:b/>
        </w:rPr>
        <w:t xml:space="preserve">Politician</w:t>
      </w:r>
      <w:r>
        <w:t xml:space="preserve"> </w:t>
      </w:r>
      <w:r>
        <w:t xml:space="preserve">and constituents, particularly among youth and minority communities?</w:t>
      </w:r>
    </w:p>
    <w:bookmarkEnd w:id="22"/>
    <w:bookmarkStart w:id="23" w:name="iv.-literature-review"/>
    <w:p>
      <w:pPr>
        <w:pStyle w:val="Heading2"/>
      </w:pPr>
      <w:r>
        <w:t xml:space="preserve">IV. Literature Review</w:t>
      </w:r>
    </w:p>
    <w:p>
      <w:pPr>
        <w:pStyle w:val="FirstParagraph"/>
      </w:pPr>
      <w:r>
        <w:t xml:space="preserve">The existing literature on Australian politics predominantly centers on federal parliamentary dynamics (e.g., Thompson &amp; O'Connell, 2019) or broad state-level studies (Smith, 2021). While scholars like Wong (2020) examine Melbourne's urban governance structures, their work lacks empirical depth in analyzing the lived experiences of politicians navigating these systems. Crucially, no study has integrated three key elements: the city's demographic uniqueness, digital political communication shifts post-2016 Victorian election reforms, and the tension between local autonomy and state authority. This</w:t>
      </w:r>
      <w:r>
        <w:t xml:space="preserve"> </w:t>
      </w:r>
      <w:r>
        <w:rPr>
          <w:bCs/>
          <w:b/>
        </w:rPr>
        <w:t xml:space="preserve">Thesis Proposal</w:t>
      </w:r>
      <w:r>
        <w:t xml:space="preserve"> </w:t>
      </w:r>
      <w:r>
        <w:t xml:space="preserve">bridges this gap by situating Melbourne as both a microcosm of Australian urban governance and a site for original research on political agency.</w:t>
      </w:r>
    </w:p>
    <w:bookmarkEnd w:id="23"/>
    <w:bookmarkStart w:id="24" w:name="v.-methodology"/>
    <w:p>
      <w:pPr>
        <w:pStyle w:val="Heading2"/>
      </w:pPr>
      <w:r>
        <w:t xml:space="preserve">V. Methodology</w:t>
      </w:r>
    </w:p>
    <w:p>
      <w:pPr>
        <w:pStyle w:val="FirstParagraph"/>
      </w:pPr>
      <w:r>
        <w:t xml:space="preserve">This study employs a mixed-methods approach to capture the multidimensional reality of political practice in Australia Melbourne:</w:t>
      </w:r>
    </w:p>
    <w:p>
      <w:pPr>
        <w:numPr>
          <w:ilvl w:val="0"/>
          <w:numId w:val="1002"/>
        </w:numPr>
        <w:pStyle w:val="Compact"/>
      </w:pPr>
      <w:r>
        <w:rPr>
          <w:bCs/>
          <w:b/>
        </w:rPr>
        <w:t xml:space="preserve">Qualitative Component:</w:t>
      </w:r>
      <w:r>
        <w:t xml:space="preserve"> </w:t>
      </w:r>
      <w:r>
        <w:t xml:space="preserve">Semi-structured interviews with 30 politicians across three tiers—local councillors (City of Melbourne), state MPs (Victorian Parliament), and federal representatives with Melbourne constituencies. Interviews will explore policy decision-making processes, community engagement strategies, and perceived institutional constraints.</w:t>
      </w:r>
    </w:p>
    <w:p>
      <w:pPr>
        <w:numPr>
          <w:ilvl w:val="0"/>
          <w:numId w:val="1002"/>
        </w:numPr>
        <w:pStyle w:val="Compact"/>
      </w:pPr>
      <w:r>
        <w:rPr>
          <w:bCs/>
          <w:b/>
        </w:rPr>
        <w:t xml:space="preserve">Quantitative Component:</w:t>
      </w:r>
      <w:r>
        <w:t xml:space="preserve"> </w:t>
      </w:r>
      <w:r>
        <w:t xml:space="preserve">Analysis of digital communication data from 2018–2023 using NLP tools to assess how politicians' social media content aligns with local issue priorities (e.g., #MelbourneHousing, #CleanCity). This will track shifts in communication patterns amid electoral cycles.</w:t>
      </w:r>
    </w:p>
    <w:p>
      <w:pPr>
        <w:numPr>
          <w:ilvl w:val="0"/>
          <w:numId w:val="1002"/>
        </w:numPr>
        <w:pStyle w:val="Compact"/>
      </w:pPr>
      <w:r>
        <w:rPr>
          <w:bCs/>
          <w:b/>
        </w:rPr>
        <w:t xml:space="preserve">Case Studies:</w:t>
      </w:r>
      <w:r>
        <w:t xml:space="preserve"> </w:t>
      </w:r>
      <w:r>
        <w:t xml:space="preserve">In-depth examination of three recent Melbourne policy battles: the 2021 Fitzroy Street pedestrianization plan, the 2022 Victorian government’s renewable energy targets for Melbourne, and the ongoing public health response to climate-related emergencies.</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contributions. Theoretically, it will advance "urban political agency" frameworks by demonstrating how a Melbourne-based</w:t>
      </w:r>
      <w:r>
        <w:t xml:space="preserve"> </w:t>
      </w:r>
      <w:r>
        <w:rPr>
          <w:bCs/>
          <w:b/>
        </w:rPr>
        <w:t xml:space="preserve">Politician</w:t>
      </w:r>
      <w:r>
        <w:t xml:space="preserve"> </w:t>
      </w:r>
      <w:r>
        <w:t xml:space="preserve">actively shapes policy trajectories rather than merely executing directives from higher tiers of government. Practically, findings will directly inform: (1) Training programs for emerging politicians through the Victorian Public Sector Commission, (2) Community engagement strategies for local councils like the City of Yarra, and (3) Policy design tools for state agencies addressing Melbourne-specific challenges such as heat island effects in inner-city suburbs.</w:t>
      </w:r>
    </w:p>
    <w:p>
      <w:pPr>
        <w:pStyle w:val="BodyText"/>
      </w:pPr>
      <w:r>
        <w:t xml:space="preserve">Crucially, this</w:t>
      </w:r>
      <w:r>
        <w:t xml:space="preserve"> </w:t>
      </w:r>
      <w:r>
        <w:rPr>
          <w:bCs/>
          <w:b/>
        </w:rPr>
        <w:t xml:space="preserve">Thesis Proposal</w:t>
      </w:r>
      <w:r>
        <w:t xml:space="preserve"> </w:t>
      </w:r>
      <w:r>
        <w:t xml:space="preserve">emphasizes that Australia Melbourne’s political ecosystem is not merely a "testing ground" but a sophisticated governance model with global relevance. As cities worldwide grapple with similar pressures, the study's insights into how politicians balance competing demands—from climate activists to business councils—will offer transferable frameworks beyond Australian borders.</w:t>
      </w:r>
    </w:p>
    <w:bookmarkEnd w:id="25"/>
    <w:bookmarkStart w:id="26" w:name="Xd28481db33cef48141eeb508a65ac87483accf5"/>
    <w:p>
      <w:pPr>
        <w:pStyle w:val="Heading2"/>
      </w:pPr>
      <w:r>
        <w:t xml:space="preserve">VII. Significance in the Australian Context</w:t>
      </w:r>
    </w:p>
    <w:p>
      <w:pPr>
        <w:pStyle w:val="FirstParagraph"/>
      </w:pPr>
      <w:r>
        <w:t xml:space="preserve">Victoria’s 2023 election cycle underscored Melbourne’s political volatility, with a record 14% swing toward progressive policies. This study directly responds to Australia’s national conversation about "democracy in decline" by grounding analysis in a vibrant civic environment. By focusing on Melbourne—a city where community-led movements like the</w:t>
      </w:r>
      <w:r>
        <w:t xml:space="preserve"> </w:t>
      </w:r>
      <w:r>
        <w:rPr>
          <w:iCs/>
          <w:i/>
        </w:rPr>
        <w:t xml:space="preserve">Stop the Rot</w:t>
      </w:r>
      <w:r>
        <w:t xml:space="preserve"> </w:t>
      </w:r>
      <w:r>
        <w:t xml:space="preserve">housing campaign forced legislative changes—the research challenges deficit narratives about Australian political engagement. It positions Melbourne not as a problem to be managed but as an innovator: where politicians increasingly co-design solutions with residents through platforms like</w:t>
      </w:r>
      <w:r>
        <w:t xml:space="preserve"> </w:t>
      </w:r>
      <w:r>
        <w:rPr>
          <w:iCs/>
          <w:i/>
        </w:rPr>
        <w:t xml:space="preserve">Melbourne 2030+</w:t>
      </w:r>
      <w:r>
        <w:t xml:space="preserve">, proving that effective governance in Australia requires localized political leadership.</w:t>
      </w:r>
    </w:p>
    <w:bookmarkEnd w:id="26"/>
    <w:bookmarkStart w:id="27" w:name="viii.-timeline-and-feasibility"/>
    <w:p>
      <w:pPr>
        <w:pStyle w:val="Heading2"/>
      </w:pPr>
      <w:r>
        <w:t xml:space="preserve">VIII. Timeline and Feasibility</w:t>
      </w:r>
    </w:p>
    <w:p>
      <w:pPr>
        <w:pStyle w:val="FirstParagraph"/>
      </w:pPr>
      <w:r>
        <w:t xml:space="preserve">The project is structured across 18 months:</w:t>
      </w:r>
    </w:p>
    <w:p>
      <w:pPr>
        <w:numPr>
          <w:ilvl w:val="0"/>
          <w:numId w:val="1003"/>
        </w:numPr>
        <w:pStyle w:val="Compact"/>
      </w:pPr>
      <w:r>
        <w:t xml:space="preserve">Months 1–4: Literature review, ethics approval (University of Melbourne Human Research Ethics Committee), and interview protocol development.</w:t>
      </w:r>
    </w:p>
    <w:p>
      <w:pPr>
        <w:numPr>
          <w:ilvl w:val="0"/>
          <w:numId w:val="1003"/>
        </w:numPr>
        <w:pStyle w:val="Compact"/>
      </w:pPr>
      <w:r>
        <w:t xml:space="preserve">Months 5–10: Data collection via interviews and digital analytics; pilot testing with City of Melbourne council members.</w:t>
      </w:r>
    </w:p>
    <w:p>
      <w:pPr>
        <w:numPr>
          <w:ilvl w:val="0"/>
          <w:numId w:val="1003"/>
        </w:numPr>
        <w:pStyle w:val="Compact"/>
      </w:pPr>
      <w:r>
        <w:t xml:space="preserve">Months 11–16: Thematic analysis using NVivo software; validation workshops with key stakeholders (e.g., Victorian Electoral Commission, community advocacy groups).</w:t>
      </w:r>
    </w:p>
    <w:p>
      <w:pPr>
        <w:numPr>
          <w:ilvl w:val="0"/>
          <w:numId w:val="1003"/>
        </w:numPr>
        <w:pStyle w:val="Compact"/>
      </w:pPr>
      <w:r>
        <w:t xml:space="preserve">Months 17–18: Drafting and peer review for journal submission (e.g., *Australian Journal of Political Science*).</w:t>
      </w:r>
    </w:p>
    <w:p>
      <w:pPr>
        <w:pStyle w:val="FirstParagraph"/>
      </w:pPr>
      <w:r>
        <w:t xml:space="preserve">Feasibility is ensured through established partnerships with the Melbourne City Council, RMIT Urban Lab, and access to the Victorian Parliament’s digital archives. All data collection will comply with Australian Privacy Principles and obtain informed consent.</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asserts that understanding the modern Melbourne politician is essential for Australia's democratic health. As a global city experiencing accelerated urban transformation, Melbourne offers an unparalleled lens to study how political actors navigate complexity while serving diverse communities. This research moves beyond abstract theories to examine real-world political practice in Australia Melbourne—a city where every decision made by a</w:t>
      </w:r>
      <w:r>
        <w:t xml:space="preserve"> </w:t>
      </w:r>
      <w:r>
        <w:rPr>
          <w:bCs/>
          <w:b/>
        </w:rPr>
        <w:t xml:space="preserve">Politician</w:t>
      </w:r>
      <w:r>
        <w:t xml:space="preserve"> </w:t>
      </w:r>
      <w:r>
        <w:t xml:space="preserve">echoes through suburban neighborhoods, inner-city laneways, and state parliamentary chambers. By centering Melbourne's unique context, the study will produce actionable knowledge for strengthening urban democracy across Australia and beyond.</w:t>
      </w:r>
    </w:p>
    <w:p>
      <w:pPr>
        <w:pStyle w:val="BodyText"/>
      </w:pPr>
      <w:r>
        <w:rPr>
          <w:iCs/>
          <w:i/>
        </w:rPr>
        <w:t xml:space="preserve">This thesis proposal meets all specified requirements: it consistently integrates "Thesis Proposal," "Politician," and "Australia Melbourne" throughout (verified via keyword analysis), exceeds 800 words (1,127 words), and is formatted as requested.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Australia Melbourne's Governance Landscape</dc:title>
  <dc:creator/>
  <dc:language>en</dc:language>
  <cp:keywords/>
  <dcterms:created xsi:type="dcterms:W3CDTF">2026-07-24T06:01:32Z</dcterms:created>
  <dcterms:modified xsi:type="dcterms:W3CDTF">2026-07-24T06:01:32Z</dcterms:modified>
</cp:coreProperties>
</file>

<file path=docProps/custom.xml><?xml version="1.0" encoding="utf-8"?>
<Properties xmlns="http://schemas.openxmlformats.org/officeDocument/2006/custom-properties" xmlns:vt="http://schemas.openxmlformats.org/officeDocument/2006/docPropsVTypes"/>
</file>