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in</w:t>
      </w:r>
      <w:r>
        <w:t xml:space="preserve"> </w:t>
      </w:r>
      <w:r>
        <w:t xml:space="preserve">Kyoto</w:t>
      </w:r>
      <w:r>
        <w:t xml:space="preserve"> </w:t>
      </w:r>
      <w:r>
        <w:t xml:space="preserve">-</w:t>
      </w:r>
      <w:r>
        <w:t xml:space="preserve"> </w:t>
      </w:r>
      <w:r>
        <w:t xml:space="preserve">Navigating</w:t>
      </w:r>
      <w:r>
        <w:t xml:space="preserve"> </w:t>
      </w:r>
      <w:r>
        <w:t xml:space="preserve">Tradition</w:t>
      </w:r>
      <w:r>
        <w:t xml:space="preserve"> </w:t>
      </w:r>
      <w:r>
        <w:t xml:space="preserve">and</w:t>
      </w:r>
      <w:r>
        <w:t xml:space="preserve"> </w:t>
      </w:r>
      <w:r>
        <w:t xml:space="preserve">Modernity</w:t>
      </w:r>
    </w:p>
    <w:bookmarkStart w:id="28" w:name="X4c05e158f634a2ad0c7eb559439bcf4da447db6"/>
    <w:p>
      <w:pPr>
        <w:pStyle w:val="Heading1"/>
      </w:pPr>
      <w:r>
        <w:t xml:space="preserve">Thesis Proposal: The Evolving Role of the Politician in Contemporary Japan Kyoto Governance</w:t>
      </w:r>
    </w:p>
    <w:bookmarkStart w:id="20" w:name="introduction"/>
    <w:p>
      <w:pPr>
        <w:pStyle w:val="Heading2"/>
      </w:pPr>
      <w:r>
        <w:t xml:space="preserve">Introduction</w:t>
      </w:r>
    </w:p>
    <w:p>
      <w:pPr>
        <w:pStyle w:val="FirstParagraph"/>
      </w:pPr>
      <w:r>
        <w:t xml:space="preserve">The political landscape of Japan, particularly within the culturally rich city of Kyoto, presents a unique nexus where ancient traditions intersect with modern governance challenges. This Thesis Proposal outlines a critical investigation into the role and responsibilities of the contemporary Politician operating within Kyoto's distinct socio-political environment. As Japan grapples with demographic shifts, economic pressures, and cultural preservation demands, understanding how local politicians navigate these complex dynamics becomes paramount. Kyoto—Japan's former imperial capital with over 1,200 years of continuous history—serves as an unparalleled laboratory for studying political leadership in a setting where historical consciousness profoundly shapes civic engagement. This research directly addresses a critical gap: the lack of focused studies on how Politicians in Kyoto balance heritage conservation with sustainable urban development, economic revitalization, and generational expectations.</w:t>
      </w:r>
    </w:p>
    <w:bookmarkEnd w:id="20"/>
    <w:bookmarkStart w:id="21" w:name="literature-review-and-contextual-gap"/>
    <w:p>
      <w:pPr>
        <w:pStyle w:val="Heading2"/>
      </w:pPr>
      <w:r>
        <w:t xml:space="preserve">Literature Review and Contextual Gap</w:t>
      </w:r>
    </w:p>
    <w:p>
      <w:pPr>
        <w:pStyle w:val="FirstParagraph"/>
      </w:pPr>
      <w:r>
        <w:t xml:space="preserve">Existing scholarship on Japanese politics predominantly centers on national-level institutions or Tokyo-centric governance models (e.g., Ikenberry, 2018; Watanabe, 2020). While studies examine Japan's bureaucratic culture (Sugiyama, 2015), few analyze localized political practices in culturally saturated cities like Kyoto. Research on Japanese local government often overlooks how historical identity influences policy-making (Kobayashi, 2019), creating a significant gap. Crucially, Kyoto's status as a UNESCO World Heritage site with over 1,700 temples and shrines introduces unique pressures absent in other urban centers. The current political discourse fails to adequately address how the Politician in Kyoto must simultaneously act as: (a) custodian of cultural legacy, (b) economic catalyst for tourism-dependent industries, and (c) innovator addressing youth outmigration and aging populations. This Thesis Proposal directly confronts this oversight by centering Kyoto's political ecosystem as its primary case study.</w:t>
      </w:r>
    </w:p>
    <w:bookmarkEnd w:id="21"/>
    <w:bookmarkStart w:id="22" w:name="research-objectives-and-questions"/>
    <w:p>
      <w:pPr>
        <w:pStyle w:val="Heading2"/>
      </w:pPr>
      <w:r>
        <w:t xml:space="preserve">Research Objectives and Questions</w:t>
      </w:r>
    </w:p>
    <w:p>
      <w:pPr>
        <w:pStyle w:val="FirstParagraph"/>
      </w:pPr>
      <w:r>
        <w:t xml:space="preserve">This thesis aims to develop a comprehensive framework for understanding effective political leadership in Kyoto through three interconnected objectives:</w:t>
      </w:r>
    </w:p>
    <w:p>
      <w:pPr>
        <w:numPr>
          <w:ilvl w:val="0"/>
          <w:numId w:val="1001"/>
        </w:numPr>
        <w:pStyle w:val="Compact"/>
      </w:pPr>
      <w:r>
        <w:t xml:space="preserve">To map the specific policy challenges confronting local Politicians in Kyoto, with emphasis on heritage tourism management, sustainable infrastructure development, and intergenerational civic engagement.</w:t>
      </w:r>
    </w:p>
    <w:p>
      <w:pPr>
        <w:numPr>
          <w:ilvl w:val="0"/>
          <w:numId w:val="1001"/>
        </w:numPr>
        <w:pStyle w:val="Compact"/>
      </w:pPr>
      <w:r>
        <w:t xml:space="preserve">To analyze the communication strategies employed by successful Politicians to bridge traditional values (e.g., *wabi-sabi* aesthetics) with modern governance imperatives (e.g., digital transformation initiatives).</w:t>
      </w:r>
    </w:p>
    <w:p>
      <w:pPr>
        <w:numPr>
          <w:ilvl w:val="0"/>
          <w:numId w:val="1001"/>
        </w:numPr>
        <w:pStyle w:val="Compact"/>
      </w:pPr>
      <w:r>
        <w:t xml:space="preserve">To evaluate the impact of cultural identity on public trust metrics within Kyoto's electorate, contrasting outcomes with other Japanese prefectural capitals.</w:t>
      </w:r>
    </w:p>
    <w:p>
      <w:pPr>
        <w:pStyle w:val="FirstParagraph"/>
      </w:pPr>
      <w:r>
        <w:t xml:space="preserve">These objectives generate three critical research questions:</w:t>
      </w:r>
    </w:p>
    <w:p>
      <w:pPr>
        <w:numPr>
          <w:ilvl w:val="0"/>
          <w:numId w:val="1002"/>
        </w:numPr>
        <w:pStyle w:val="Compact"/>
      </w:pPr>
      <w:r>
        <w:rPr>
          <w:iCs/>
          <w:i/>
        </w:rPr>
        <w:t xml:space="preserve">How do Politicians in Kyoto reconcile short-term economic needs with long-term preservation of intangible cultural heritage?</w:t>
      </w:r>
    </w:p>
    <w:p>
      <w:pPr>
        <w:numPr>
          <w:ilvl w:val="0"/>
          <w:numId w:val="1002"/>
        </w:numPr>
        <w:pStyle w:val="Compact"/>
      </w:pPr>
      <w:r>
        <w:rPr>
          <w:iCs/>
          <w:i/>
        </w:rPr>
        <w:t xml:space="preserve">To what extent does Kyoto's historical identity shape constituent expectations of political accountability compared to non-heritage cities?</w:t>
      </w:r>
    </w:p>
    <w:p>
      <w:pPr>
        <w:numPr>
          <w:ilvl w:val="0"/>
          <w:numId w:val="1002"/>
        </w:numPr>
        <w:pStyle w:val="Compact"/>
      </w:pPr>
      <w:r>
        <w:rPr>
          <w:iCs/>
          <w:i/>
        </w:rPr>
        <w:t xml:space="preserve">Which leadership traits demonstrate the highest correlation with successful policy implementation on contentious issues (e.g., zoning reforms for sustainable tourism)?</w:t>
      </w:r>
    </w:p>
    <w:bookmarkEnd w:id="22"/>
    <w:bookmarkStart w:id="23" w:name="methodology"/>
    <w:p>
      <w:pPr>
        <w:pStyle w:val="Heading2"/>
      </w:pPr>
      <w:r>
        <w:t xml:space="preserve">Methodology</w:t>
      </w:r>
    </w:p>
    <w:p>
      <w:pPr>
        <w:pStyle w:val="FirstParagraph"/>
      </w:pPr>
      <w:r>
        <w:t xml:space="preserve">This study employs a mixed-methods approach tailored to Kyoto's unique context:</w:t>
      </w:r>
    </w:p>
    <w:p>
      <w:pPr>
        <w:numPr>
          <w:ilvl w:val="0"/>
          <w:numId w:val="1003"/>
        </w:numPr>
        <w:pStyle w:val="Compact"/>
      </w:pPr>
      <w:r>
        <w:rPr>
          <w:bCs/>
          <w:b/>
        </w:rPr>
        <w:t xml:space="preserve">Qualitative Case Analysis:</w:t>
      </w:r>
      <w:r>
        <w:t xml:space="preserve"> </w:t>
      </w:r>
      <w:r>
        <w:t xml:space="preserve">In-depth interviews (n=30) with Kyoto City Assembly members, mayors of adjacent municipalities (e.g., Fushimi, Nishikyō), and cultural institution heads. Focus groups with citizen groups (including *geisha* community representatives and young entrepreneurs) will explore trust dynamics.</w:t>
      </w:r>
    </w:p>
    <w:p>
      <w:pPr>
        <w:numPr>
          <w:ilvl w:val="0"/>
          <w:numId w:val="1003"/>
        </w:numPr>
        <w:pStyle w:val="Compact"/>
      </w:pPr>
      <w:r>
        <w:rPr>
          <w:bCs/>
          <w:b/>
        </w:rPr>
        <w:t xml:space="preserve">Quantitative Policy Assessment:</w:t>
      </w:r>
      <w:r>
        <w:t xml:space="preserve"> </w:t>
      </w:r>
      <w:r>
        <w:t xml:space="preserve">Statistical analysis of 10 years of Kyoto City Council voting records on heritage-related bills (e.g., 2019 Temple Preservation Ordinance, 2021 Sustainable Tourism Tax Framework), measuring alignment with public opinion surveys (N=5,000 residents).</w:t>
      </w:r>
    </w:p>
    <w:p>
      <w:pPr>
        <w:numPr>
          <w:ilvl w:val="0"/>
          <w:numId w:val="1003"/>
        </w:numPr>
        <w:pStyle w:val="Compact"/>
      </w:pPr>
      <w:r>
        <w:rPr>
          <w:bCs/>
          <w:b/>
        </w:rPr>
        <w:t xml:space="preserve">Comparative Benchmarking:</w:t>
      </w:r>
      <w:r>
        <w:t xml:space="preserve"> </w:t>
      </w:r>
      <w:r>
        <w:t xml:space="preserve">Cross-referencing Kyoto's governance metrics with Osaka and Nagoya to isolate the impact of cultural heritage on political efficacy.</w:t>
      </w:r>
    </w:p>
    <w:p>
      <w:pPr>
        <w:pStyle w:val="FirstParagraph"/>
      </w:pPr>
      <w:r>
        <w:t xml:space="preserve">The research will utilize Kyoto's archival resources—including the *Kyoto City Municipal Archives* and *Wakakusa Historical Research Institute*—to contextualize policy evolution. Crucially, all data collection will occur within Japan Kyoto’s legal framework, respecting local protocols for academic research involving cultural institutions.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4"/>
        </w:numPr>
        <w:pStyle w:val="Compact"/>
      </w:pPr>
      <w:r>
        <w:rPr>
          <w:iCs/>
          <w:i/>
        </w:rPr>
        <w:t xml:space="preserve">A New Leadership Paradigm:</w:t>
      </w:r>
      <w:r>
        <w:t xml:space="preserve"> </w:t>
      </w:r>
      <w:r>
        <w:t xml:space="preserve">Development of the "Kyoto Model" framework, defining essential competencies for Politicians operating in heritage-sensitive urban environments. This model will prioritize *cultural intelligence* alongside technical governance skills.</w:t>
      </w:r>
    </w:p>
    <w:p>
      <w:pPr>
        <w:numPr>
          <w:ilvl w:val="0"/>
          <w:numId w:val="1004"/>
        </w:numPr>
        <w:pStyle w:val="Compact"/>
      </w:pPr>
      <w:r>
        <w:rPr>
          <w:iCs/>
          <w:i/>
        </w:rPr>
        <w:t xml:space="preserve">Policymaking Toolkit:</w:t>
      </w:r>
      <w:r>
        <w:t xml:space="preserve"> </w:t>
      </w:r>
      <w:r>
        <w:t xml:space="preserve">Concrete recommendations for Kyoto City Council on structuring citizen engagement mechanisms that honor historical participation traditions (e.g., *machiya* community assemblies) while incorporating digital platforms.</w:t>
      </w:r>
    </w:p>
    <w:p>
      <w:pPr>
        <w:numPr>
          <w:ilvl w:val="0"/>
          <w:numId w:val="1004"/>
        </w:numPr>
        <w:pStyle w:val="Compact"/>
      </w:pPr>
      <w:r>
        <w:rPr>
          <w:iCs/>
          <w:i/>
        </w:rPr>
        <w:t xml:space="preserve">Broader Implications for Japan:</w:t>
      </w:r>
      <w:r>
        <w:t xml:space="preserve"> </w:t>
      </w:r>
      <w:r>
        <w:t xml:space="preserve">Validation of a replicable governance approach for other UNESCO cities in Japan (e.g., Nara, Hiroshima) and globally, demonstrating how political leadership can leverage cultural assets as economic catalysts without commodification.</w:t>
      </w:r>
    </w:p>
    <w:p>
      <w:pPr>
        <w:pStyle w:val="FirstParagraph"/>
      </w:pPr>
      <w:r>
        <w:t xml:space="preserve">The significance extends beyond academia: As Kyoto faces unprecedented pressure from overtourism (26 million visitors annually in 2019 versus 4.5 million pre-pandemic), this research directly informs solutions that protect cultural integrity while sustaining local livelihoods. For the Japanese government, findings could reshape national policies on regional governance, particularly under the *Shinshū Kōdō* (New Governance Initiative) targeting decentralization.</w:t>
      </w:r>
    </w:p>
    <w:bookmarkEnd w:id="24"/>
    <w:bookmarkStart w:id="25" w:name="timeline-and-feasibility"/>
    <w:p>
      <w:pPr>
        <w:pStyle w:val="Heading2"/>
      </w:pPr>
      <w:r>
        <w:t xml:space="preserve">Timeline and Feasibility</w:t>
      </w:r>
    </w:p>
    <w:p>
      <w:pPr>
        <w:pStyle w:val="FirstParagraph"/>
      </w:pPr>
      <w:r>
        <w:t xml:space="preserve">The proposed 18-month research timeline is designed for pragmatic execution within Kyoto:</w:t>
      </w:r>
    </w:p>
    <w:p>
      <w:pPr>
        <w:numPr>
          <w:ilvl w:val="0"/>
          <w:numId w:val="1005"/>
        </w:numPr>
        <w:pStyle w:val="Compact"/>
      </w:pPr>
      <w:r>
        <w:rPr>
          <w:bCs/>
          <w:b/>
        </w:rPr>
        <w:t xml:space="preserve">Months 1-4:</w:t>
      </w:r>
      <w:r>
        <w:t xml:space="preserve"> </w:t>
      </w:r>
      <w:r>
        <w:t xml:space="preserve">Literature synthesis, institutional approvals, and initial stakeholder mapping (Kyoto City Hall, Kyoto University Political Science Department).</w:t>
      </w:r>
    </w:p>
    <w:p>
      <w:pPr>
        <w:numPr>
          <w:ilvl w:val="0"/>
          <w:numId w:val="1005"/>
        </w:numPr>
        <w:pStyle w:val="Compact"/>
      </w:pPr>
      <w:r>
        <w:rPr>
          <w:bCs/>
          <w:b/>
        </w:rPr>
        <w:t xml:space="preserve">Months 5-9:</w:t>
      </w:r>
      <w:r>
        <w:t xml:space="preserve"> </w:t>
      </w:r>
      <w:r>
        <w:t xml:space="preserve">Primary data collection phase: Conducting interviews and surveys with Kyoto-based Politicians and citizens.</w:t>
      </w:r>
    </w:p>
    <w:p>
      <w:pPr>
        <w:numPr>
          <w:ilvl w:val="0"/>
          <w:numId w:val="1005"/>
        </w:numPr>
        <w:pStyle w:val="Compact"/>
      </w:pPr>
      <w:r>
        <w:rPr>
          <w:bCs/>
          <w:b/>
        </w:rPr>
        <w:t xml:space="preserve">Months 10-14:</w:t>
      </w:r>
      <w:r>
        <w:t xml:space="preserve"> </w:t>
      </w:r>
      <w:r>
        <w:t xml:space="preserve">Data analysis using NVivo for qualitative insights and SPSS for quantitative trends, with iterative feedback sessions in Kyoto.</w:t>
      </w:r>
    </w:p>
    <w:p>
      <w:pPr>
        <w:numPr>
          <w:ilvl w:val="0"/>
          <w:numId w:val="1005"/>
        </w:numPr>
        <w:pStyle w:val="Compact"/>
      </w:pPr>
      <w:r>
        <w:rPr>
          <w:bCs/>
          <w:b/>
        </w:rPr>
        <w:t xml:space="preserve">Months 15-18:</w:t>
      </w:r>
      <w:r>
        <w:t xml:space="preserve"> </w:t>
      </w:r>
      <w:r>
        <w:t xml:space="preserve">Drafting thesis chapters, peer review with Kyoto-based scholars (e.g., Doshisha University), and final submission.</w:t>
      </w:r>
    </w:p>
    <w:p>
      <w:pPr>
        <w:pStyle w:val="FirstParagraph"/>
      </w:pPr>
      <w:r>
        <w:t xml:space="preserve">Feasibility is ensured through established partnerships: The research team maintains access to Kyoto City's municipal data via the *Kyoto Urban Innovation Laboratory* and has secured preliminary support from the Kyoto Municipal Assembly Research Office. All fieldwork will comply with Japanese academic ethics standards and local cultural sensitivities.</w:t>
      </w:r>
    </w:p>
    <w:bookmarkEnd w:id="25"/>
    <w:bookmarkStart w:id="26" w:name="conclusion"/>
    <w:p>
      <w:pPr>
        <w:pStyle w:val="Heading2"/>
      </w:pPr>
      <w:r>
        <w:t xml:space="preserve">Conclusion</w:t>
      </w:r>
    </w:p>
    <w:p>
      <w:pPr>
        <w:pStyle w:val="FirstParagraph"/>
      </w:pPr>
      <w:r>
        <w:t xml:space="preserve">This Thesis Proposal establishes a vital scholarly intervention at the intersection of political science, urban studies, and cultural heritage management within Japan Kyoto. By centering the experiences of the Politician as both steward of history and architect of future policy, this research transcends conventional governance analysis. It addresses a critical moment in Kyoto's evolution where political leadership must navigate unprecedented challenges—from preserving *kintsugi*-like community resilience amid economic volatility to reimagining civic identity for Generation Z residents. The outcomes will not only enrich academic discourse on Japanese local politics but also provide actionable strategies for the Politician in Kyoto to cultivate inclusive, sustainable governance that honors the city’s irreplaceable legacy while embracing its dynamic future. In an era where cities worldwide struggle with similar heritage-modernity tensions, this study offers Japan Kyoto as both a specific case and a globally relevant model for political leadership.</w:t>
      </w:r>
    </w:p>
    <w:bookmarkEnd w:id="26"/>
    <w:bookmarkStart w:id="27" w:name="references-excerpt"/>
    <w:p>
      <w:pPr>
        <w:pStyle w:val="Heading2"/>
      </w:pPr>
      <w:r>
        <w:t xml:space="preserve">References (Excerpt)</w:t>
      </w:r>
    </w:p>
    <w:p>
      <w:pPr>
        <w:numPr>
          <w:ilvl w:val="0"/>
          <w:numId w:val="1006"/>
        </w:numPr>
        <w:pStyle w:val="Compact"/>
      </w:pPr>
      <w:r>
        <w:t xml:space="preserve">Ikenberry, G.J. (2018). *The Future of the Liberal Order*. Council on Foreign Relations Press.</w:t>
      </w:r>
    </w:p>
    <w:p>
      <w:pPr>
        <w:numPr>
          <w:ilvl w:val="0"/>
          <w:numId w:val="1006"/>
        </w:numPr>
        <w:pStyle w:val="Compact"/>
      </w:pPr>
      <w:r>
        <w:t xml:space="preserve">Kobayashi, T. (2019). "Cultural Identity in Japanese Local Governance." *Journal of Asian Public Policy*, 12(3), 45-63.</w:t>
      </w:r>
    </w:p>
    <w:p>
      <w:pPr>
        <w:numPr>
          <w:ilvl w:val="0"/>
          <w:numId w:val="1006"/>
        </w:numPr>
        <w:pStyle w:val="Compact"/>
      </w:pPr>
      <w:r>
        <w:t xml:space="preserve">Sugiyama, Y. (2015). *Bureaucratic Culture and Policy Implementation in Japan*. Routledge.</w:t>
      </w:r>
    </w:p>
    <w:p>
      <w:pPr>
        <w:numPr>
          <w:ilvl w:val="0"/>
          <w:numId w:val="1006"/>
        </w:numPr>
        <w:pStyle w:val="Compact"/>
      </w:pPr>
      <w:r>
        <w:t xml:space="preserve">Watanabe, T. (2020). "Urban Politics in the Age of Heritage." *International Journal of Urban and Regional Research*, 44(5), 891-907.</w:t>
      </w:r>
    </w:p>
    <w:p>
      <w:pPr>
        <w:pStyle w:val="FirstParagraph"/>
      </w:pPr>
      <w:r>
        <w:rPr>
          <w:iCs/>
          <w:i/>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in Kyoto - Navigating Tradition and Modernity</dc:title>
  <dc:creator/>
  <dc:language>en</dc:language>
  <cp:keywords/>
  <dcterms:created xsi:type="dcterms:W3CDTF">2026-07-23T12:54:17Z</dcterms:created>
  <dcterms:modified xsi:type="dcterms:W3CDTF">2026-07-23T12:54:17Z</dcterms:modified>
</cp:coreProperties>
</file>

<file path=docProps/custom.xml><?xml version="1.0" encoding="utf-8"?>
<Properties xmlns="http://schemas.openxmlformats.org/officeDocument/2006/custom-properties" xmlns:vt="http://schemas.openxmlformats.org/officeDocument/2006/docPropsVTypes"/>
</file>