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Kuwait</w:t>
      </w:r>
      <w:r>
        <w:t xml:space="preserve"> </w:t>
      </w:r>
      <w:r>
        <w:t xml:space="preserve">City,</w:t>
      </w:r>
      <w:r>
        <w:t xml:space="preserve"> </w:t>
      </w:r>
      <w:r>
        <w:t xml:space="preserve">Kuwait</w:t>
      </w:r>
    </w:p>
    <w:bookmarkStart w:id="30" w:name="Xe193d262ad6aa26f0a2a8ee2f2d5d6e649023ef"/>
    <w:p>
      <w:pPr>
        <w:pStyle w:val="Heading1"/>
      </w:pPr>
      <w:r>
        <w:t xml:space="preserve">Thesis Proposal: Navigating Governance and Representation in the Political Landscape of Kuwait City, Kuwait</w:t>
      </w:r>
    </w:p>
    <w:bookmarkStart w:id="20" w:name="introduction-and-background"/>
    <w:p>
      <w:pPr>
        <w:pStyle w:val="Heading2"/>
      </w:pPr>
      <w:r>
        <w:t xml:space="preserve">1. Introduction and Background</w:t>
      </w:r>
    </w:p>
    <w:p>
      <w:pPr>
        <w:pStyle w:val="FirstParagraph"/>
      </w:pPr>
      <w:r>
        <w:t xml:space="preserve">The political ecosystem of **Kuwait** stands as a unique case study in Middle Eastern governance, characterized by its constitutional monarchy framework and active parliamentary system. Within this context, **Kuwait City** serves as the undisputed epicenter of political activity, housing the National Assembly, government ministries, and the primary battleground for electoral politics. This thesis proposal examines the evolving role of a modern **Politician** in **Kuwait Kuwait City**, analyzing how urban governance challenges intersect with traditional political structures. As Kuwait navigates economic diversification post-oil and demographic shifts driven by expatriate communities, the demands placed on elected representatives have intensified exponentially. This research emerges at a critical juncture where the effectiveness of a **Politician** directly impacts national development trajectories, yet scholarly attention remains disproportionately focused on macro-level policies rather than ground-level political realities in the capital city.</w:t>
      </w:r>
    </w:p>
    <w:bookmarkEnd w:id="20"/>
    <w:bookmarkStart w:id="21" w:name="problem-statement"/>
    <w:p>
      <w:pPr>
        <w:pStyle w:val="Heading2"/>
      </w:pPr>
      <w:r>
        <w:t xml:space="preserve">2. Problem Statement</w:t>
      </w:r>
    </w:p>
    <w:p>
      <w:pPr>
        <w:pStyle w:val="FirstParagraph"/>
      </w:pPr>
      <w:r>
        <w:t xml:space="preserve">A persistent gap exists between theoretical frameworks of Kuwaiti democracy and the lived experiences of politicians operating within **Kuwait City**'s complex urban environment. Current literature inadequately addresses how geographical, socio-cultural, and institutional factors uniquely shape political engagement in the capital. For instance, rapid urbanization has created stark contrasts between affluent neighborhoods like Salmiya and marginalized areas such as Al-Farwaniya, where politicians face divergent constituent demands. Furthermore, the 2023 parliamentary dissolution highlighted how party fragmentation undermines governance stability—a challenge most acute in **Kuwait Kuwait City**, where political alliances are cemented through personal networks rather than institutional platforms. This **Thesis Proposal** argues that without understanding these hyperlocal dynamics, national policy initiatives risk misalignment with grassroots needs, ultimately weakening democratic accountability.</w:t>
      </w:r>
    </w:p>
    <w:bookmarkEnd w:id="21"/>
    <w:bookmarkStart w:id="22" w:name="research-objectives"/>
    <w:p>
      <w:pPr>
        <w:pStyle w:val="Heading2"/>
      </w:pPr>
      <w:r>
        <w:t xml:space="preserve">3. Research Objectives</w:t>
      </w:r>
    </w:p>
    <w:p>
      <w:pPr>
        <w:numPr>
          <w:ilvl w:val="0"/>
          <w:numId w:val="1001"/>
        </w:numPr>
        <w:pStyle w:val="Compact"/>
      </w:pPr>
      <w:r>
        <w:t xml:space="preserve">To map the spatial and social networks through which politicians in **Kuwait Kuwait City** cultivate constituency relationships</w:t>
      </w:r>
    </w:p>
    <w:p>
      <w:pPr>
        <w:numPr>
          <w:ilvl w:val="0"/>
          <w:numId w:val="1001"/>
        </w:numPr>
        <w:pStyle w:val="Compact"/>
      </w:pPr>
      <w:r>
        <w:t xml:space="preserve">To analyze how urban governance challenges (e.g., infrastructure deficits, housing crises) influence political priorities of legislators</w:t>
      </w:r>
    </w:p>
    <w:p>
      <w:pPr>
        <w:numPr>
          <w:ilvl w:val="0"/>
          <w:numId w:val="1001"/>
        </w:numPr>
        <w:pStyle w:val="Compact"/>
      </w:pPr>
      <w:r>
        <w:t xml:space="preserve">To evaluate institutional barriers to effective policymaking for a **Politician** operating within the National Assembly's current structure</w:t>
      </w:r>
    </w:p>
    <w:p>
      <w:pPr>
        <w:numPr>
          <w:ilvl w:val="0"/>
          <w:numId w:val="1001"/>
        </w:numPr>
        <w:pStyle w:val="Compact"/>
      </w:pPr>
      <w:r>
        <w:t xml:space="preserve">To propose context-specific reforms enhancing the efficacy of politicians in Kuwait City's unique political landscape</w:t>
      </w:r>
    </w:p>
    <w:bookmarkEnd w:id="22"/>
    <w:bookmarkStart w:id="23" w:name="literature-review-synthesis"/>
    <w:p>
      <w:pPr>
        <w:pStyle w:val="Heading2"/>
      </w:pPr>
      <w:r>
        <w:t xml:space="preserve">4. Literature Review Synthesis</w:t>
      </w:r>
    </w:p>
    <w:p>
      <w:pPr>
        <w:pStyle w:val="FirstParagraph"/>
      </w:pPr>
      <w:r>
        <w:t xml:space="preserve">Existing scholarship on Kuwaiti politics predominantly examines oil revenue distribution (Al-Jassim, 2019) or electoral systems (Boulos, 2015), but neglects the urban dimension of political work. Studies by Al-Siyabi (2021) on parliamentary procedures omit how **Kuwait City**'s physical constraints—such as traffic congestion delaying ministerial meetings—affect legislative efficiency. Meanwhile, urban sociology research (Al-Harthi, 2020) analyzes housing inequalities but overlooks political mediation roles. Crucially, no study integrates these streams to investigate the daily reality of a **Politician** in **Kuwait Kuwait City**. This research bridges that gap by applying "urban governance theory" (Sabel &amp; Zeitlin, 2019) to Kuwait’s parliamentary context, asserting that effective representation requires spatial awareness absent in current political science models.</w:t>
      </w:r>
    </w:p>
    <w:bookmarkEnd w:id="23"/>
    <w:bookmarkStart w:id="24" w:name="methodology"/>
    <w:p>
      <w:pPr>
        <w:pStyle w:val="Heading2"/>
      </w:pPr>
      <w:r>
        <w:t xml:space="preserve">5. Methodology</w:t>
      </w:r>
    </w:p>
    <w:p>
      <w:pPr>
        <w:pStyle w:val="FirstParagraph"/>
      </w:pPr>
      <w:r>
        <w:t xml:space="preserve">This mixed-methods study employs three complementary approaches across **Kuwait Kuwait City**:</w:t>
      </w:r>
    </w:p>
    <w:p>
      <w:pPr>
        <w:numPr>
          <w:ilvl w:val="0"/>
          <w:numId w:val="1002"/>
        </w:numPr>
        <w:pStyle w:val="Compact"/>
      </w:pPr>
      <w:r>
        <w:rPr>
          <w:bCs/>
          <w:b/>
        </w:rPr>
        <w:t xml:space="preserve">Qualitative Fieldwork:</w:t>
      </w:r>
      <w:r>
        <w:t xml:space="preserve"> </w:t>
      </w:r>
      <w:r>
        <w:t xml:space="preserve">Semi-structured interviews with 30 active politicians (15 elected, 15 appointed) and 40 community stakeholders in six districts of **Kuwait City**, examining daily political workflows</w:t>
      </w:r>
    </w:p>
    <w:p>
      <w:pPr>
        <w:numPr>
          <w:ilvl w:val="0"/>
          <w:numId w:val="1002"/>
        </w:numPr>
        <w:pStyle w:val="Compact"/>
      </w:pPr>
      <w:r>
        <w:rPr>
          <w:bCs/>
          <w:b/>
        </w:rPr>
        <w:t xml:space="preserve">Spatial Analysis:</w:t>
      </w:r>
      <w:r>
        <w:t xml:space="preserve"> </w:t>
      </w:r>
      <w:r>
        <w:t xml:space="preserve">GIS mapping correlating parliamentary voting patterns with neighborhood demographics using census data from the Central Statistical Bureau</w:t>
      </w:r>
    </w:p>
    <w:p>
      <w:pPr>
        <w:pStyle w:val="FirstParagraph"/>
      </w:pPr>
      <w:r>
        <w:t xml:space="preserve">Data collection occurs during the 2024 parliamentary session, ensuring relevance to current political dynamics. Ethical protocols will be approved by the Kuwait University Research Ethics Board, with participant anonymity guaranteed.</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w:t>
      </w:r>
    </w:p>
    <w:p>
      <w:pPr>
        <w:numPr>
          <w:ilvl w:val="0"/>
          <w:numId w:val="1003"/>
        </w:numPr>
        <w:pStyle w:val="Compact"/>
      </w:pPr>
      <w:r>
        <w:rPr>
          <w:bCs/>
          <w:b/>
        </w:rPr>
        <w:t xml:space="preserve">Conceptual:</w:t>
      </w:r>
      <w:r>
        <w:t xml:space="preserve"> </w:t>
      </w:r>
      <w:r>
        <w:t xml:space="preserve">Introduces "Urban Political Capital" as a framework measuring a politician’s spatial influence beyond traditional patronage networks, directly applicable to **Kuwait Kuwait City**'s dense urban fabric</w:t>
      </w:r>
    </w:p>
    <w:p>
      <w:pPr>
        <w:numPr>
          <w:ilvl w:val="0"/>
          <w:numId w:val="1003"/>
        </w:numPr>
        <w:pStyle w:val="Compact"/>
      </w:pPr>
      <w:r>
        <w:rPr>
          <w:bCs/>
          <w:b/>
        </w:rPr>
        <w:t xml:space="preserve">Policy-Relevant:</w:t>
      </w:r>
      <w:r>
        <w:t xml:space="preserve"> </w:t>
      </w:r>
      <w:r>
        <w:t xml:space="preserve">Identifies specific infrastructure projects (e.g., cross-district public transport links) that would reduce political isolation of constituencies, enabling more responsive governance</w:t>
      </w:r>
    </w:p>
    <w:p>
      <w:pPr>
        <w:numPr>
          <w:ilvl w:val="0"/>
          <w:numId w:val="1003"/>
        </w:numPr>
        <w:pStyle w:val="Compact"/>
      </w:pPr>
      <w:r>
        <w:rPr>
          <w:bCs/>
          <w:b/>
        </w:rPr>
        <w:t xml:space="preserve">Academic:</w:t>
      </w:r>
      <w:r>
        <w:t xml:space="preserve"> </w:t>
      </w:r>
      <w:r>
        <w:t xml:space="preserve">Challenges assumptions in Middle East political science by demonstrating how urban morphology shapes representative democracy in non-Western contexts</w:t>
      </w:r>
    </w:p>
    <w:p>
      <w:pPr>
        <w:pStyle w:val="FirstParagraph"/>
      </w:pPr>
      <w:r>
        <w:t xml:space="preserve">Crucially, findings will be presented to the National Assembly’s Committee on Urban Development, ensuring immediate practical utility for **Politician**s navigating **Kuwait Kuwait City**.</w:t>
      </w:r>
    </w:p>
    <w:bookmarkEnd w:id="25"/>
    <w:bookmarkStart w:id="26" w:name="significance-of-the-research"/>
    <w:p>
      <w:pPr>
        <w:pStyle w:val="Heading2"/>
      </w:pPr>
      <w:r>
        <w:t xml:space="preserve">7. Significance of the Research</w:t>
      </w:r>
    </w:p>
    <w:p>
      <w:pPr>
        <w:pStyle w:val="FirstParagraph"/>
      </w:pPr>
      <w:r>
        <w:t xml:space="preserve">In a nation where 80% of citizens reside in **Kuwait City**, this research transcends academic interest to address tangible governance failures. When politicians struggle with commute times exceeding three hours (per 2023 government surveys), constituent engagement suffers, fueling public disillusionment. By focusing on the **Politician** as an urban actor—not merely a legislator—this study reframes development priorities. For example, understanding how a politician in Al-Shuwaikh district navigates wastewater infrastructure challenges could inform nationwide municipal reforms. More broadly, it advances Kuwait’s 2035 Vision by demonstrating that political effectiveness is inseparable from physical city planning.</w:t>
      </w:r>
    </w:p>
    <w:bookmarkEnd w:id="26"/>
    <w:bookmarkStart w:id="27" w:name="timeline-and-feasibility"/>
    <w:p>
      <w:pPr>
        <w:pStyle w:val="Heading2"/>
      </w:pPr>
      <w:r>
        <w:t xml:space="preserve">8. Timeline and Feasibility</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4-9:</w:t>
      </w:r>
      <w:r>
        <w:t xml:space="preserve"> </w:t>
      </w:r>
      <w:r>
        <w:t xml:space="preserve">Fieldwork in **Kuwait Kuwait City** (interviews, spatial data collection)</w:t>
      </w:r>
    </w:p>
    <w:p>
      <w:pPr>
        <w:numPr>
          <w:ilvl w:val="0"/>
          <w:numId w:val="1004"/>
        </w:numPr>
        <w:pStyle w:val="Compact"/>
      </w:pPr>
      <w:r>
        <w:rPr>
          <w:bCs/>
          <w:b/>
        </w:rPr>
        <w:t xml:space="preserve">Months 10-15:</w:t>
      </w:r>
      <w:r>
        <w:t xml:space="preserve"> </w:t>
      </w:r>
      <w:r>
        <w:t xml:space="preserve">Data analysis and draft report</w:t>
      </w:r>
    </w:p>
    <w:p>
      <w:pPr>
        <w:numPr>
          <w:ilvl w:val="0"/>
          <w:numId w:val="1004"/>
        </w:numPr>
        <w:pStyle w:val="Compact"/>
      </w:pPr>
      <w:r>
        <w:rPr>
          <w:bCs/>
          <w:b/>
        </w:rPr>
        <w:t xml:space="preserve">Months 16-18:</w:t>
      </w:r>
      <w:r>
        <w:t xml:space="preserve"> </w:t>
      </w:r>
      <w:r>
        <w:t xml:space="preserve">Policy brief development and National Assembly consultation</w:t>
      </w:r>
    </w:p>
    <w:p>
      <w:pPr>
        <w:pStyle w:val="FirstParagraph"/>
      </w:pPr>
      <w:r>
        <w:t xml:space="preserve">The researcher possesses fluency in Arabic, prior experience conducting political surveys in Kuwait, and established connections with the National Assembly. Primary data will be sourced from publicly accessible parliamentary records and **Kuwait City**'s municipal databases—ensuring methodological feasibility without requiring sensitive government access.</w:t>
      </w:r>
    </w:p>
    <w:bookmarkEnd w:id="27"/>
    <w:bookmarkStart w:id="28" w:name="conclusion"/>
    <w:p>
      <w:pPr>
        <w:pStyle w:val="Heading2"/>
      </w:pPr>
      <w:r>
        <w:t xml:space="preserve">9. Conclusion</w:t>
      </w:r>
    </w:p>
    <w:p>
      <w:pPr>
        <w:pStyle w:val="FirstParagraph"/>
      </w:pPr>
      <w:r>
        <w:t xml:space="preserve">This **Thesis Proposal** asserts that understanding the modern **Politician** in its urban habitat is paramount for Kuwait’s democratic evolution. **Kuwait Kuwait City** is not merely a location but the operational heart of national politics—a nexus where abstract policy meets daily reality. By centering the lived experiences of politicians navigating this dynamic environment, this research promises to generate actionable insights that strengthen representation, enhance governance efficiency, and ultimately foster a more resilient political system for all citizens. As **Kuwait** embarks on its socio-economic transformation, empowering its **Politician**s through context-aware scholarship is not just academically vital—it is essential for the nation's future.</w:t>
      </w:r>
    </w:p>
    <w:bookmarkEnd w:id="28"/>
    <w:bookmarkStart w:id="29" w:name="references-illustrative"/>
    <w:p>
      <w:pPr>
        <w:pStyle w:val="Heading2"/>
      </w:pPr>
      <w:r>
        <w:t xml:space="preserve">References (Illustrative)</w:t>
      </w:r>
    </w:p>
    <w:p>
      <w:pPr>
        <w:numPr>
          <w:ilvl w:val="0"/>
          <w:numId w:val="1005"/>
        </w:numPr>
        <w:pStyle w:val="Compact"/>
      </w:pPr>
      <w:r>
        <w:t xml:space="preserve">Al-Jassim, S. (2019). Oil and Power in Kuwait. Oxford University Press.</w:t>
      </w:r>
    </w:p>
    <w:p>
      <w:pPr>
        <w:numPr>
          <w:ilvl w:val="0"/>
          <w:numId w:val="1005"/>
        </w:numPr>
        <w:pStyle w:val="Compact"/>
      </w:pPr>
      <w:r>
        <w:t xml:space="preserve">Boulos, A. (2015). Electoral Politics in the Gulf Monarchies. Journal of Arabian Studies.</w:t>
      </w:r>
    </w:p>
    <w:p>
      <w:pPr>
        <w:numPr>
          <w:ilvl w:val="0"/>
          <w:numId w:val="1005"/>
        </w:numPr>
        <w:pStyle w:val="Compact"/>
      </w:pPr>
      <w:r>
        <w:t xml:space="preserve">Al-Siyabi, R. (2021). Parliamentary Procedure in Kuwait: A Structural Analysis.</w:t>
      </w:r>
    </w:p>
    <w:p>
      <w:pPr>
        <w:numPr>
          <w:ilvl w:val="0"/>
          <w:numId w:val="1005"/>
        </w:numPr>
        <w:pStyle w:val="Compact"/>
      </w:pPr>
      <w:r>
        <w:t xml:space="preserve">Al-Harthi, H. (2020). Urban Inequality and Social Policy in Kuwait City. Middle Eastern Studies Journal.</w:t>
      </w:r>
    </w:p>
    <w:p>
      <w:pPr>
        <w:pStyle w:val="FirstParagraph"/>
      </w:pPr>
      <w:r>
        <w:rPr>
          <w:iCs/>
          <w:i/>
        </w:rPr>
        <w:t xml:space="preserve">This Thesis Proposal constitutes a rigorous academic foundation for advancing knowledge about the political profession in **Kuwait Kuwait City**. It directly addresses the critical need to modernize our understanding of how a **Politician** operates within the nation's most politically significant urban space, ensuring relevance to both scholarly discourse and national development imperatives.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Politician in Kuwait City, Kuwait</dc:title>
  <dc:creator/>
  <dc:language>en</dc:language>
  <cp:keywords/>
  <dcterms:created xsi:type="dcterms:W3CDTF">2026-07-23T20:11:04Z</dcterms:created>
  <dcterms:modified xsi:type="dcterms:W3CDTF">2026-07-23T20:11:04Z</dcterms:modified>
</cp:coreProperties>
</file>

<file path=docProps/custom.xml><?xml version="1.0" encoding="utf-8"?>
<Properties xmlns="http://schemas.openxmlformats.org/officeDocument/2006/custom-properties" xmlns:vt="http://schemas.openxmlformats.org/officeDocument/2006/docPropsVTypes"/>
</file>