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Academic</w:t>
      </w:r>
      <w:r>
        <w:t xml:space="preserve"> </w:t>
      </w:r>
      <w:r>
        <w:t xml:space="preserve">Leadership</w:t>
      </w:r>
      <w:r>
        <w:t xml:space="preserve"> </w:t>
      </w:r>
      <w:r>
        <w:t xml:space="preserve">in</w:t>
      </w:r>
      <w:r>
        <w:t xml:space="preserve"> </w:t>
      </w:r>
      <w:r>
        <w:t xml:space="preserve">Australia</w:t>
      </w:r>
      <w:r>
        <w:t xml:space="preserve"> </w:t>
      </w:r>
      <w:r>
        <w:t xml:space="preserve">Melbourne</w:t>
      </w:r>
      <w:r>
        <w:t xml:space="preserve"> </w:t>
      </w:r>
      <w:r>
        <w:t xml:space="preserve">Context</w:t>
      </w:r>
    </w:p>
    <w:bookmarkStart w:id="28" w:name="Xc49e60b3f98c966bec0bdd337f2b29b8844b76e"/>
    <w:p>
      <w:pPr>
        <w:pStyle w:val="Heading1"/>
      </w:pPr>
      <w:r>
        <w:t xml:space="preserve">Thesis Proposal: Strategic Pathways for Professorial Excellence in Australia's Melbourne Higher Education Ecosystem</w:t>
      </w:r>
    </w:p>
    <w:bookmarkStart w:id="20" w:name="introduction-and-research-context"/>
    <w:p>
      <w:pPr>
        <w:pStyle w:val="Heading2"/>
      </w:pPr>
      <w:r>
        <w:t xml:space="preserve">Introduction and Research Context</w:t>
      </w:r>
    </w:p>
    <w:p>
      <w:pPr>
        <w:pStyle w:val="FirstParagraph"/>
      </w:pPr>
      <w:r>
        <w:t xml:space="preserve">This thesis proposal outlines a research program designed to address critical gaps in the professional development frameworks supporting academic leadership within Australian universities, with specific emphasis on the Melbourne metropolitan higher education landscape. The proposed research directly engages with the evolving role of Professor in Australia's tertiary sector, where institutions like the University of Melbourne, Monash University, and RMIT are redefining excellence beyond traditional research outputs to include translational impact, inclusive pedagogy, and strategic community engagement. As Australia's academic workforce faces unprecedented demands for innovation amid global competition for talent and funding realignment (Australian Government Department of Education, 2023), this study positions Professor as a pivotal leadership archetype requiring systematic scholarly investigation.</w:t>
      </w:r>
    </w:p>
    <w:bookmarkEnd w:id="20"/>
    <w:bookmarkStart w:id="21" w:name="problem-statement"/>
    <w:p>
      <w:pPr>
        <w:pStyle w:val="Heading2"/>
      </w:pPr>
      <w:r>
        <w:t xml:space="preserve">Problem Statement</w:t>
      </w:r>
    </w:p>
    <w:p>
      <w:pPr>
        <w:pStyle w:val="FirstParagraph"/>
      </w:pPr>
      <w:r>
        <w:t xml:space="preserve">Despite the centrality of the Professor title to Australian university governance and prestige systems, there exists a significant paucity of context-specific research examining how Melbourne-based institutions cultivate effective professors. Current literature (e.g., Lattuca, 2015; Brown &amp; Hemsley-Brown, 2018) often generalizes across diverse national contexts without accounting for Australia's unique regulatory frameworks (TEQSA), funding models (Research Training Program), and regional cultural dynamics. Crucially, Melbourne’s concentration of Russell Group-equivalent institutions creates a distinctive ecosystem where Professorial roles intersect with Asia-Pacific strategic priorities, Indigenous reconciliation imperatives (e.g.,</w:t>
      </w:r>
      <w:r>
        <w:t xml:space="preserve"> </w:t>
      </w:r>
      <w:r>
        <w:rPr>
          <w:iCs/>
          <w:i/>
        </w:rPr>
        <w:t xml:space="preserve">Indigenous Employment Strategy</w:t>
      </w:r>
      <w:r>
        <w:t xml:space="preserve"> </w:t>
      </w:r>
      <w:r>
        <w:t xml:space="preserve">at UniMelb), and the demands of Australia’s 2024 National Research Infrastructure Plan. This proposal addresses the urgent need to develop evidence-based pathways for Professor development that are specifically calibrated for Melbourne's academic environment.</w:t>
      </w:r>
    </w:p>
    <w:bookmarkEnd w:id="21"/>
    <w:bookmarkStart w:id="22" w:name="research-questions"/>
    <w:p>
      <w:pPr>
        <w:pStyle w:val="Heading2"/>
      </w:pPr>
      <w:r>
        <w:t xml:space="preserve">Research Questions</w:t>
      </w:r>
    </w:p>
    <w:p>
      <w:pPr>
        <w:numPr>
          <w:ilvl w:val="0"/>
          <w:numId w:val="1001"/>
        </w:numPr>
        <w:pStyle w:val="Compact"/>
      </w:pPr>
      <w:r>
        <w:t xml:space="preserve">How do Melbourne universities operationalize "Professorial excellence" beyond research metrics within their strategic plans (e.g., Monash’s "Decade of Impact," RMIT’s "Industry Engagement Framework")?</w:t>
      </w:r>
    </w:p>
    <w:p>
      <w:pPr>
        <w:numPr>
          <w:ilvl w:val="0"/>
          <w:numId w:val="1001"/>
        </w:numPr>
        <w:pStyle w:val="Compact"/>
      </w:pPr>
      <w:r>
        <w:t xml:space="preserve">To what extent do existing leadership development programs for future Professors in Australia Melbourne address the complex competencies required for navigating interdisciplinary collaboration, industry partnerships, and culturally safe research environments?</w:t>
      </w:r>
    </w:p>
    <w:p>
      <w:pPr>
        <w:numPr>
          <w:ilvl w:val="0"/>
          <w:numId w:val="1001"/>
        </w:numPr>
        <w:pStyle w:val="Compact"/>
      </w:pPr>
      <w:r>
        <w:t xml:space="preserve">What institutional policies and support structures most effectively facilitate the transition from senior lecturer to Professor within Melbourne's competitive academic market?</w:t>
      </w:r>
    </w:p>
    <w:bookmarkEnd w:id="22"/>
    <w:bookmarkStart w:id="23" w:name="literature-review-gap-identification"/>
    <w:p>
      <w:pPr>
        <w:pStyle w:val="Heading2"/>
      </w:pPr>
      <w:r>
        <w:t xml:space="preserve">Literature Review: Gap Identification</w:t>
      </w:r>
    </w:p>
    <w:p>
      <w:pPr>
        <w:pStyle w:val="FirstParagraph"/>
      </w:pPr>
      <w:r>
        <w:t xml:space="preserve">Existing scholarship on academic leadership (e.g., Tuckman, 1965; West, 2019) predominantly draws from North American or UK contexts. While Australian studies (Cahill et al., 2020; Gao &amp; Chen, 2021) acknowledge systemic challenges like "publish or perish" cultures and gender disparities in Professorial appointments (particularly acute in Melbourne STEM fields), they lack granular analysis of institutional variation within the Victorian capital. Crucially, no major research has mapped how Melbourne’s unique position as Australia's primary hub for global education partnerships (e.g., with Singapore, China) shapes Professorial expectations. This thesis fills this void by grounding its inquiry in the specific policy landscapes and cultural ecosystems of Melbourne’s universities.</w:t>
      </w:r>
    </w:p>
    <w:bookmarkEnd w:id="23"/>
    <w:bookmarkStart w:id="24" w:name="methodology"/>
    <w:p>
      <w:pPr>
        <w:pStyle w:val="Heading2"/>
      </w:pPr>
      <w:r>
        <w:t xml:space="preserve">Methodology</w:t>
      </w:r>
    </w:p>
    <w:p>
      <w:pPr>
        <w:pStyle w:val="FirstParagraph"/>
      </w:pPr>
      <w:r>
        <w:t xml:space="preserve">A mixed-methods approach will be employed over 36 months, integrating:</w:t>
      </w:r>
    </w:p>
    <w:p>
      <w:pPr>
        <w:numPr>
          <w:ilvl w:val="0"/>
          <w:numId w:val="1002"/>
        </w:numPr>
        <w:pStyle w:val="Compact"/>
      </w:pPr>
      <w:r>
        <w:rPr>
          <w:bCs/>
          <w:b/>
        </w:rPr>
        <w:t xml:space="preserve">Document Analysis:</w:t>
      </w:r>
      <w:r>
        <w:t xml:space="preserve"> </w:t>
      </w:r>
      <w:r>
        <w:t xml:space="preserve">Strategic plans, promotion criteria, and leadership frameworks from 5 major Melbourne institutions (University of Melbourne, Monash, RMIT, Deakin [Melbourne campus], Swinburne)</w:t>
      </w:r>
    </w:p>
    <w:p>
      <w:pPr>
        <w:numPr>
          <w:ilvl w:val="0"/>
          <w:numId w:val="1002"/>
        </w:numPr>
        <w:pStyle w:val="Compact"/>
      </w:pPr>
      <w:r>
        <w:rPr>
          <w:bCs/>
          <w:b/>
        </w:rPr>
        <w:t xml:space="preserve">Stakeholder Interviews:</w:t>
      </w:r>
      <w:r>
        <w:t xml:space="preserve"> </w:t>
      </w:r>
      <w:r>
        <w:t xml:space="preserve">30 purposively sampled Professors (across career stages), Deputy Vice-Chancellors for Research/Teaching, and HR leaders from Melbourne universities</w:t>
      </w:r>
    </w:p>
    <w:p>
      <w:pPr>
        <w:numPr>
          <w:ilvl w:val="0"/>
          <w:numId w:val="1002"/>
        </w:numPr>
        <w:pStyle w:val="Compact"/>
      </w:pPr>
      <w:r>
        <w:rPr>
          <w:bCs/>
          <w:b/>
        </w:rPr>
        <w:t xml:space="preserve">Comparative Case Studies:</w:t>
      </w:r>
      <w:r>
        <w:t xml:space="preserve"> </w:t>
      </w:r>
      <w:r>
        <w:t xml:space="preserve">Deep dives into two institutions with exemplary Professor development models (e.g., UniMelb's "Leadership for Impact" program vs. RMIT's "Professorial Pathways")</w:t>
      </w:r>
    </w:p>
    <w:p>
      <w:pPr>
        <w:pStyle w:val="FirstParagraph"/>
      </w:pPr>
      <w:r>
        <w:t xml:space="preserve">Data triangulation will ensure robust analysis of how Melbourne’s academic ecosystem translates national policies into local practice. Ethical approval will be sought from the University of Melbourne Human Research Ethics Committee, with particular attention to confidentiality in an environment where Professorial appointments carry significant professional weight.</w:t>
      </w:r>
    </w:p>
    <w:bookmarkEnd w:id="24"/>
    <w:bookmarkStart w:id="25" w:name="significance-and-contribution"/>
    <w:p>
      <w:pPr>
        <w:pStyle w:val="Heading2"/>
      </w:pPr>
      <w:r>
        <w:t xml:space="preserve">Significance and Contribution</w:t>
      </w:r>
    </w:p>
    <w:p>
      <w:pPr>
        <w:pStyle w:val="FirstParagraph"/>
      </w:pPr>
      <w:r>
        <w:t xml:space="preserve">This research holds transformative potential for Australia Melbourne’s higher education sector by:</w:t>
      </w:r>
    </w:p>
    <w:p>
      <w:pPr>
        <w:numPr>
          <w:ilvl w:val="0"/>
          <w:numId w:val="1003"/>
        </w:numPr>
        <w:pStyle w:val="Compact"/>
      </w:pPr>
      <w:r>
        <w:rPr>
          <w:bCs/>
          <w:b/>
        </w:rPr>
        <w:t xml:space="preserve">Informing Policy:</w:t>
      </w:r>
      <w:r>
        <w:t xml:space="preserve"> </w:t>
      </w:r>
      <w:r>
        <w:t xml:space="preserve">Providing evidence-based recommendations to the Victorian government's Department of Education and Training on refining academic career frameworks aligned with Melbourne's economic priorities (e.g., AI, health innovation)</w:t>
      </w:r>
    </w:p>
    <w:p>
      <w:pPr>
        <w:numPr>
          <w:ilvl w:val="0"/>
          <w:numId w:val="1003"/>
        </w:numPr>
        <w:pStyle w:val="Compact"/>
      </w:pPr>
      <w:r>
        <w:rPr>
          <w:bCs/>
          <w:b/>
        </w:rPr>
        <w:t xml:space="preserve">Enhancing Institutional Practice:</w:t>
      </w:r>
      <w:r>
        <w:t xml:space="preserve"> </w:t>
      </w:r>
      <w:r>
        <w:t xml:space="preserve">Developing a replicable "Professorship Ecosystem Assessment Tool" for Melbourne universities to audit their leadership pipelines against global benchmarks</w:t>
      </w:r>
    </w:p>
    <w:p>
      <w:pPr>
        <w:numPr>
          <w:ilvl w:val="0"/>
          <w:numId w:val="1003"/>
        </w:numPr>
        <w:pStyle w:val="Compact"/>
      </w:pPr>
      <w:r>
        <w:rPr>
          <w:bCs/>
          <w:b/>
        </w:rPr>
        <w:t xml:space="preserve">Advancing Scholarly Discourse:</w:t>
      </w:r>
      <w:r>
        <w:t xml:space="preserve"> </w:t>
      </w:r>
      <w:r>
        <w:t xml:space="preserve">Establishing Australia as a reference point in international literature on academic leadership through context-specific findings, particularly relevant for other Global South metropolitan hubs</w:t>
      </w:r>
    </w:p>
    <w:p>
      <w:pPr>
        <w:pStyle w:val="FirstParagraph"/>
      </w:pPr>
      <w:r>
        <w:t xml:space="preserve">The study directly responds to the Australian Government’s 2023</w:t>
      </w:r>
      <w:r>
        <w:t xml:space="preserve"> </w:t>
      </w:r>
      <w:r>
        <w:rPr>
          <w:iCs/>
          <w:i/>
        </w:rPr>
        <w:t xml:space="preserve">Higher Education Research Strategy</w:t>
      </w:r>
      <w:r>
        <w:t xml:space="preserve">, which prioritizes "excellence in academic leadership" as a national capability. By focusing on Melbourne—a city ranked #1 globally for universities (QS World University Rankings, 2024)—this thesis positions Australia at the forefront of reimagining what Professor means in the 21st century: not merely an academic title, but a strategic catalyst for societal impact within Australia’s most dynamic knowledge hub.</w:t>
      </w:r>
    </w:p>
    <w:bookmarkEnd w:id="25"/>
    <w:bookmarkStart w:id="26" w:name="expected-outcomes-and-timeline"/>
    <w:p>
      <w:pPr>
        <w:pStyle w:val="Heading2"/>
      </w:pPr>
      <w:r>
        <w:t xml:space="preserve">Expected Outcomes and Timeline</w:t>
      </w:r>
    </w:p>
    <w:p>
      <w:pPr>
        <w:pStyle w:val="FirstParagraph"/>
      </w:pPr>
      <w:r>
        <w:t xml:space="preserve">Deliverables will include:</w:t>
      </w:r>
    </w:p>
    <w:p>
      <w:pPr>
        <w:numPr>
          <w:ilvl w:val="0"/>
          <w:numId w:val="1004"/>
        </w:numPr>
        <w:pStyle w:val="Compact"/>
      </w:pPr>
      <w:r>
        <w:t xml:space="preserve">A comprehensive framework for Melbourne-based Professorial development (Month 18)</w:t>
      </w:r>
    </w:p>
    <w:p>
      <w:pPr>
        <w:numPr>
          <w:ilvl w:val="0"/>
          <w:numId w:val="1004"/>
        </w:numPr>
        <w:pStyle w:val="Compact"/>
      </w:pPr>
      <w:r>
        <w:t xml:space="preserve">A policy brief for the Australian Research Council (ARC) and universities' peak body (UA), specifically addressing Australia Melbourne’s regional competitiveness</w:t>
      </w:r>
    </w:p>
    <w:p>
      <w:pPr>
        <w:numPr>
          <w:ilvl w:val="0"/>
          <w:numId w:val="1004"/>
        </w:numPr>
        <w:pStyle w:val="Compact"/>
      </w:pPr>
      <w:r>
        <w:t xml:space="preserve">Three peer-reviewed journal articles in top-tier education leadership journals (</w:t>
      </w:r>
      <w:r>
        <w:rPr>
          <w:iCs/>
          <w:i/>
        </w:rPr>
        <w:t xml:space="preserve">Higher Education</w:t>
      </w:r>
      <w:r>
        <w:t xml:space="preserve">,</w:t>
      </w:r>
      <w:r>
        <w:t xml:space="preserve"> </w:t>
      </w:r>
      <w:r>
        <w:rPr>
          <w:iCs/>
          <w:i/>
        </w:rPr>
        <w:t xml:space="preserve">Studies in Higher Education</w:t>
      </w:r>
      <w:r>
        <w:t xml:space="preserve">) by Month 30</w:t>
      </w:r>
    </w:p>
    <w:p>
      <w:pPr>
        <w:pStyle w:val="FirstParagraph"/>
      </w:pPr>
      <w:r>
        <w:t xml:space="preserve">The proposal aligns with the University of Melbourne's "Research Strategy 2030" pillars, particularly "Advancing Knowledge for a Better World," and leverages existing partnerships with the Melbourne Centre for Professional Learning. This work will not only contribute to scholarly understanding but directly empower future Professors in Australia Melbourne to lead with greater efficacy within their institutions and communities.</w:t>
      </w:r>
    </w:p>
    <w:bookmarkEnd w:id="26"/>
    <w:bookmarkStart w:id="27" w:name="conclusion"/>
    <w:p>
      <w:pPr>
        <w:pStyle w:val="Heading2"/>
      </w:pPr>
      <w:r>
        <w:t xml:space="preserve">Conclusion</w:t>
      </w:r>
    </w:p>
    <w:p>
      <w:pPr>
        <w:pStyle w:val="FirstParagraph"/>
      </w:pPr>
      <w:r>
        <w:t xml:space="preserve">This Thesis Proposal establishes a vital research agenda at the intersection of academic leadership, institutional strategy, and regional development. By centering the evolving role of Professor within Australia Melbourne’s distinctive higher education ecosystem, it responds to an urgent need for contextually grounded scholarship that moves beyond generic models to deliver actionable insights. The project promises not only to elevate scholarly discourse on professorial excellence but also to directly strengthen Melbourne’s position as a global leader in innovative academic leadership – ensuring that the title of Professor remains synonymous with transformative contribution within Australia’s most influential university cluster.</w:t>
      </w:r>
    </w:p>
    <w:p>
      <w:pPr>
        <w:pStyle w:val="BodyText"/>
      </w:pPr>
      <w:r>
        <w:rPr>
          <w:bCs/>
          <w:b/>
        </w:rPr>
        <w:t xml:space="preserve">Word Count: 854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Academic Leadership in Australia Melbourne Context</dc:title>
  <dc:creator/>
  <dc:language>en</dc:language>
  <cp:keywords/>
  <dcterms:created xsi:type="dcterms:W3CDTF">2026-07-15T04:50:32Z</dcterms:created>
  <dcterms:modified xsi:type="dcterms:W3CDTF">2026-07-15T04:50:32Z</dcterms:modified>
</cp:coreProperties>
</file>

<file path=docProps/custom.xml><?xml version="1.0" encoding="utf-8"?>
<Properties xmlns="http://schemas.openxmlformats.org/officeDocument/2006/custom-properties" xmlns:vt="http://schemas.openxmlformats.org/officeDocument/2006/docPropsVTypes"/>
</file>