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Russia</w:t>
      </w:r>
      <w:r>
        <w:t xml:space="preserve"> </w:t>
      </w:r>
      <w:r>
        <w:t xml:space="preserve">Moscow</w:t>
      </w:r>
    </w:p>
    <w:bookmarkStart w:id="28" w:name="Xcc93a3bd7d89104746e7ef626170d45baa7fc58"/>
    <w:p>
      <w:pPr>
        <w:pStyle w:val="Heading1"/>
      </w:pPr>
      <w:r>
        <w:t xml:space="preserve">Thesis Proposal: Strategic Integration of Global Research Paradigms in Higher Education Leadership at Moscow-Based Institutions</w:t>
      </w:r>
    </w:p>
    <w:p>
      <w:pPr>
        <w:pStyle w:val="FirstParagraph"/>
      </w:pPr>
      <w:r>
        <w:rPr>
          <w:bCs/>
          <w:b/>
        </w:rPr>
        <w:t xml:space="preserve">Prepared for the Department of Educational Innovation, National University of Science and Technology (MISIS) - Moscow, Russia</w:t>
      </w:r>
    </w:p>
    <w:bookmarkStart w:id="20" w:name="X98f1908ce7e5196a6ff699b5e9ff8eb71bc8056"/>
    <w:p>
      <w:pPr>
        <w:pStyle w:val="Heading2"/>
      </w:pPr>
      <w:r>
        <w:t xml:space="preserve">1. Introduction: Contextualizing Academic Leadership in Russia Moscow</w:t>
      </w:r>
    </w:p>
    <w:p>
      <w:pPr>
        <w:pStyle w:val="FirstParagraph"/>
      </w:pPr>
      <w:r>
        <w:t xml:space="preserve">The evolving landscape of higher education in Russia Moscow demands visionary academic leadership capable of bridging traditional scholarly excellence with contemporary global research imperatives. As a prospective Professor at a premier institution in Moscow, this Thesis Proposal outlines a comprehensive research agenda designed to address systemic challenges while strengthening Russia's position as an emerging hub for cutting-edge academic inquiry. The proposal aligns with the Russian Ministry of Science and Higher Education's strategic vision to elevate the international standing of Moscow's universities through evidence-based pedagogical innovation and interdisciplinary collaboration.</w:t>
      </w:r>
    </w:p>
    <w:bookmarkEnd w:id="20"/>
    <w:bookmarkStart w:id="21" w:name="X8ad3c15a1288ac00ffafb189590087898598b5c"/>
    <w:p>
      <w:pPr>
        <w:pStyle w:val="Heading2"/>
      </w:pPr>
      <w:r>
        <w:t xml:space="preserve">2. Research Problem: The Leadership Gap in Russian Academic Ecosystems</w:t>
      </w:r>
    </w:p>
    <w:p>
      <w:pPr>
        <w:pStyle w:val="FirstParagraph"/>
      </w:pPr>
      <w:r>
        <w:t xml:space="preserve">Despite Russia Moscow's rich scholarly heritage, a critical gap persists between its academic institutions and global research benchmarks. Current leadership models often prioritize disciplinary silos over cross-institutional synergy, limiting the potential for transformative research in fields vital to Russia's economic diversification—particularly advanced materials science, sustainable urban development, and AI-driven healthcare. This Thesis Proposal identifies an urgent need for a Professor-level framework that integrates international best practices with Russia-specific contextual factors. Without such a strategic approach, Moscow's universities risk stagnation amid rapidly evolving global knowledge economies.</w:t>
      </w:r>
    </w:p>
    <w:bookmarkEnd w:id="21"/>
    <w:bookmarkStart w:id="22" w:name="thesis-proposal-core-research-objectives"/>
    <w:p>
      <w:pPr>
        <w:pStyle w:val="Heading2"/>
      </w:pPr>
      <w:r>
        <w:t xml:space="preserve">3. Thesis Proposal: Core Research Objectives</w:t>
      </w:r>
    </w:p>
    <w:p>
      <w:pPr>
        <w:pStyle w:val="FirstParagraph"/>
      </w:pPr>
      <w:r>
        <w:t xml:space="preserve">This research aims to develop the "Moscow Academic Leadership Framework" (MALF), a theoretically grounded yet pragmatically adaptable model for Professor-led innovation. The thesis will specifically address three interrelated objectives:</w:t>
      </w:r>
    </w:p>
    <w:p>
      <w:pPr>
        <w:numPr>
          <w:ilvl w:val="0"/>
          <w:numId w:val="1001"/>
        </w:numPr>
        <w:pStyle w:val="Compact"/>
      </w:pPr>
      <w:r>
        <w:rPr>
          <w:bCs/>
          <w:b/>
        </w:rPr>
        <w:t xml:space="preserve">Mapping Institutional Barriers:</w:t>
      </w:r>
      <w:r>
        <w:t xml:space="preserve"> </w:t>
      </w:r>
      <w:r>
        <w:t xml:space="preserve">Analyze structural impediments within Moscow-based universities (e.g., funding allocation, tenure systems) that hinder collaborative research, using mixed-methods data from 15 leading institutions across Russia Moscow.</w:t>
      </w:r>
    </w:p>
    <w:p>
      <w:pPr>
        <w:numPr>
          <w:ilvl w:val="0"/>
          <w:numId w:val="1001"/>
        </w:numPr>
        <w:pStyle w:val="Compact"/>
      </w:pPr>
      <w:r>
        <w:rPr>
          <w:bCs/>
          <w:b/>
        </w:rPr>
        <w:t xml:space="preserve">Designing the MALF Model:</w:t>
      </w:r>
      <w:r>
        <w:t xml:space="preserve"> </w:t>
      </w:r>
      <w:r>
        <w:t xml:space="preserve">Co-create a leadership framework with academic deans and international partners at Moscow State University and HSE University, emphasizing cross-border knowledge transfer while preserving Russian scholarly traditions.</w:t>
      </w:r>
    </w:p>
    <w:p>
      <w:pPr>
        <w:numPr>
          <w:ilvl w:val="0"/>
          <w:numId w:val="1001"/>
        </w:numPr>
        <w:pStyle w:val="Compact"/>
      </w:pPr>
      <w:r>
        <w:rPr>
          <w:bCs/>
          <w:b/>
        </w:rPr>
        <w:t xml:space="preserve">Evaluating Socio-Economic Impact:</w:t>
      </w:r>
      <w:r>
        <w:t xml:space="preserve"> </w:t>
      </w:r>
      <w:r>
        <w:t xml:space="preserve">Measure how MALF implementation influences research output quality, student employability in high-tech sectors, and foreign academic partnerships—using longitudinal data from pilot institutions in Russia Moscow.</w:t>
      </w:r>
    </w:p>
    <w:bookmarkEnd w:id="22"/>
    <w:bookmarkStart w:id="23" w:name="X75a7b548d430a21d08bbf5e4f1803e0c13292ea"/>
    <w:p>
      <w:pPr>
        <w:pStyle w:val="Heading2"/>
      </w:pPr>
      <w:r>
        <w:t xml:space="preserve">4. Methodology: Rigorous yet Contextually Sensitive Approach</w:t>
      </w:r>
    </w:p>
    <w:p>
      <w:pPr>
        <w:pStyle w:val="FirstParagraph"/>
      </w:pPr>
      <w:r>
        <w:t xml:space="preserve">The Thesis Proposal employs a multi-phase methodology tailored to the Russian academic context:</w:t>
      </w:r>
    </w:p>
    <w:p>
      <w:pPr>
        <w:numPr>
          <w:ilvl w:val="0"/>
          <w:numId w:val="1002"/>
        </w:numPr>
        <w:pStyle w:val="Compact"/>
      </w:pPr>
      <w:r>
        <w:rPr>
          <w:iCs/>
          <w:i/>
        </w:rPr>
        <w:t xml:space="preserve">Phase 1 (Literature Synthesis):</w:t>
      </w:r>
      <w:r>
        <w:t xml:space="preserve"> </w:t>
      </w:r>
      <w:r>
        <w:t xml:space="preserve">Comparative analysis of leadership models from European universities (e.g., ETH Zurich) and their adaptation challenges in Russia Moscow's unique administrative landscape.</w:t>
      </w:r>
    </w:p>
    <w:p>
      <w:pPr>
        <w:numPr>
          <w:ilvl w:val="0"/>
          <w:numId w:val="1002"/>
        </w:numPr>
        <w:pStyle w:val="Compact"/>
      </w:pPr>
      <w:r>
        <w:rPr>
          <w:iCs/>
          <w:i/>
        </w:rPr>
        <w:t xml:space="preserve">Phase 2 (Field Research):</w:t>
      </w:r>
      <w:r>
        <w:t xml:space="preserve"> </w:t>
      </w:r>
      <w:r>
        <w:t xml:space="preserve">Conducting semi-structured interviews with 50+ faculty members at Moscow universities and administering surveys to 1,200 students across STEM disciplines—ensuring IRB compliance under Russian academic regulations.</w:t>
      </w:r>
    </w:p>
    <w:p>
      <w:pPr>
        <w:numPr>
          <w:ilvl w:val="0"/>
          <w:numId w:val="1002"/>
        </w:numPr>
        <w:pStyle w:val="Compact"/>
      </w:pPr>
      <w:r>
        <w:rPr>
          <w:iCs/>
          <w:i/>
        </w:rPr>
        <w:t xml:space="preserve">Phase 3 (Pilot Implementation):</w:t>
      </w:r>
      <w:r>
        <w:t xml:space="preserve"> </w:t>
      </w:r>
      <w:r>
        <w:t xml:space="preserve">Partnering with the Skolkovo Institute of Science and Technology (Skoltech) to test MALF in a controlled environment, measuring changes in collaborative grant applications and patent filings.</w:t>
      </w:r>
    </w:p>
    <w:bookmarkEnd w:id="23"/>
    <w:bookmarkStart w:id="24" w:name="Xbf7bca9cee49ad844afe69dd4815de5b0807237"/>
    <w:p>
      <w:pPr>
        <w:pStyle w:val="Heading2"/>
      </w:pPr>
      <w:r>
        <w:t xml:space="preserve">5. Significance: Transformative Potential for Russia Moscow</w:t>
      </w:r>
    </w:p>
    <w:p>
      <w:pPr>
        <w:pStyle w:val="FirstParagraph"/>
      </w:pPr>
      <w:r>
        <w:t xml:space="preserve">This Thesis Proposal directly responds to Russia's national priority of "Digital Economy 2030" by positioning Professor-led research as a catalyst for innovation. Expected outcomes include:</w:t>
      </w:r>
    </w:p>
    <w:p>
      <w:pPr>
        <w:numPr>
          <w:ilvl w:val="0"/>
          <w:numId w:val="1003"/>
        </w:numPr>
        <w:pStyle w:val="Compact"/>
      </w:pPr>
      <w:r>
        <w:t xml:space="preserve">A scalable leadership model that increases Moscow universities' participation in EU Horizon Europe programs by ≥35% within five years.</w:t>
      </w:r>
    </w:p>
    <w:p>
      <w:pPr>
        <w:numPr>
          <w:ilvl w:val="0"/>
          <w:numId w:val="1003"/>
        </w:numPr>
        <w:pStyle w:val="Compact"/>
      </w:pPr>
      <w:r>
        <w:t xml:space="preserve">Policy briefs for the Russian Rectors' Council to reform tenure systems, enhancing retention of top-tier academics amid global talent competition.</w:t>
      </w:r>
    </w:p>
    <w:p>
      <w:pPr>
        <w:numPr>
          <w:ilvl w:val="0"/>
          <w:numId w:val="1003"/>
        </w:numPr>
        <w:pStyle w:val="Compact"/>
      </w:pPr>
      <w:r>
        <w:t xml:space="preserve">Development of a Moscow-based "Innovation Ambassador" network connecting 20+ institutions across Russia with industry partners (e.g., Gazprom Neft, Yandex), accelerating tech commercialization.</w:t>
      </w:r>
    </w:p>
    <w:bookmarkEnd w:id="24"/>
    <w:bookmarkStart w:id="25" w:name="Xc973304571e59aae54f8301372cbb703b25a566"/>
    <w:p>
      <w:pPr>
        <w:pStyle w:val="Heading2"/>
      </w:pPr>
      <w:r>
        <w:t xml:space="preserve">6. Integration of Key Components: Why This Thesis Proposal Matters</w:t>
      </w:r>
    </w:p>
    <w:p>
      <w:pPr>
        <w:pStyle w:val="FirstParagraph"/>
      </w:pPr>
      <w:r>
        <w:t xml:space="preserve">The centrality of "Professor" as an academic leader cannot be overstated—this thesis redefines the role beyond teaching to encompass strategic research orchestration. In Russia Moscow, where academic prestige is deeply tied to institutional reputation, this work will empower Professors to become primary architects of systemic change. Crucially, the Thesis Proposal emphasizes *contextual intelligence*, ensuring solutions respect Russian educational philosophies while embracing global standards—a critical differentiator from generic Western frameworks.</w:t>
      </w:r>
    </w:p>
    <w:bookmarkEnd w:id="25"/>
    <w:bookmarkStart w:id="26" w:name="timeline-and-resource-alignment"/>
    <w:p>
      <w:pPr>
        <w:pStyle w:val="Heading2"/>
      </w:pPr>
      <w:r>
        <w:t xml:space="preserve">7. Timeline and Resource Alignment</w:t>
      </w:r>
    </w:p>
    <w:p>
      <w:pPr>
        <w:pStyle w:val="FirstParagraph"/>
      </w:pPr>
      <w:r>
        <w:t xml:space="preserve">The proposed research spans 36 months, with milestones synchronized to Moscow's academic calendar:</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Framework Design</w:t>
      </w:r>
    </w:p>
    <w:p>
      <w:pPr>
        <w:pStyle w:val="BodyText"/>
      </w:pPr>
      <w:r>
        <w:t xml:space="preserve">Month 1-8</w:t>
      </w:r>
    </w:p>
    <w:p>
      <w:pPr>
        <w:pStyle w:val="BodyText"/>
      </w:pPr>
      <w:r>
        <w:t xml:space="preserve">MALF conceptual blueprint; stakeholder workshop report (Moscow, October 2025)</w:t>
      </w:r>
    </w:p>
    <w:p>
      <w:pPr>
        <w:pStyle w:val="BodyText"/>
      </w:pPr>
      <w:r>
        <w:t xml:space="preserve">Field Research &amp; Data Analysis</w:t>
      </w:r>
    </w:p>
    <w:p>
      <w:pPr>
        <w:pStyle w:val="BodyText"/>
      </w:pPr>
      <w:r>
        <w:t xml:space="preserve">Month 9-20</w:t>
      </w:r>
    </w:p>
    <w:p>
      <w:pPr>
        <w:pStyle w:val="BodyText"/>
      </w:pPr>
      <w:r>
        <w:t xml:space="preserve">Barriers assessment report; MALF validation survey results</w:t>
      </w:r>
    </w:p>
    <w:p>
      <w:pPr>
        <w:pStyle w:val="BodyText"/>
      </w:pPr>
      <w:r>
        <w:t xml:space="preserve">Pilot Implementation &amp; Impact Assessment</w:t>
      </w:r>
    </w:p>
    <w:p>
      <w:pPr>
        <w:pStyle w:val="BodyText"/>
      </w:pPr>
      <w:r>
        <w:t xml:space="preserve">Month 21-30</w:t>
      </w:r>
    </w:p>
    <w:p>
      <w:pPr>
        <w:pStyle w:val="BodyText"/>
      </w:pPr>
      <w:r>
        <w:t xml:space="preserve">Skoltech pilot case study; comparative metrics against baseline data</w:t>
      </w:r>
    </w:p>
    <w:p>
      <w:pPr>
        <w:pStyle w:val="BodyText"/>
      </w:pPr>
      <w:r>
        <w:t xml:space="preserve">Dissertation Finalization &amp; Policy Integration</w:t>
      </w:r>
    </w:p>
    <w:p>
      <w:pPr>
        <w:pStyle w:val="BodyText"/>
      </w:pPr>
      <w:r>
        <w:t xml:space="preserve">Month 31-36</w:t>
      </w:r>
    </w:p>
    <w:p>
      <w:pPr>
        <w:pStyle w:val="BodyText"/>
      </w:pPr>
      <w:r>
        <w:t xml:space="preserve">Thesis manuscript; submission to Russian Ministry of Science for national adoption guidelines</w:t>
      </w:r>
    </w:p>
    <w:bookmarkEnd w:id="26"/>
    <w:bookmarkStart w:id="27" w:name="Xe4ea7a2602a6f61bd60ea8f0e047f3fe245dce0"/>
    <w:p>
      <w:pPr>
        <w:pStyle w:val="Heading2"/>
      </w:pPr>
      <w:r>
        <w:t xml:space="preserve">8. Conclusion: A Catalyst for Russia's Academic Renaissance</w:t>
      </w:r>
    </w:p>
    <w:p>
      <w:pPr>
        <w:pStyle w:val="FirstParagraph"/>
      </w:pPr>
      <w:r>
        <w:t xml:space="preserve">This Thesis Proposal transcends conventional academic work by positioning the Professor as the central agent of transformation within Russia Moscow's higher education ecosystem. It directly responds to President Putin's 2023 directive on "Modernizing Russian Education for Global Competitiveness" and aligns with Moscow's 2045 Strategic Plan for becoming a top-10 global research hub. By delivering a practical, culturally attuned leadership framework, this research will empower Professors across Russia to drive measurable improvements in innovation capacity—ensuring Moscow's universities not only compete but lead on the world stage. The successful execution of this Thesis Proposal will establish a replicable model for academic excellence that honors Russia's scholarly legacy while embracing the future.</w:t>
      </w:r>
    </w:p>
    <w:p>
      <w:pPr>
        <w:pStyle w:val="BodyText"/>
      </w:pPr>
      <w:r>
        <w:rPr>
          <w:bCs/>
          <w:b/>
        </w:rPr>
        <w:t xml:space="preserve">Submitted by: Dr. Elena Petrova, Candidate for Professorship in Educational Leadership</w:t>
      </w:r>
    </w:p>
    <w:p>
      <w:pPr>
        <w:pStyle w:val="BodyText"/>
      </w:pPr>
      <w:r>
        <w:rPr>
          <w:bCs/>
          <w:b/>
        </w:rPr>
        <w:t xml:space="preserve">Institutional Affiliation: Higher School of Economics (HSE), Moscow, Russia</w:t>
      </w:r>
    </w:p>
    <w:p>
      <w:pPr>
        <w:pStyle w:val="BodyText"/>
      </w:pPr>
      <w:r>
        <w:rPr>
          <w:iCs/>
          <w:i/>
        </w:rPr>
        <w:t xml:space="preserve">This document complies with the National Research Ethics Charter of Russia and has received preliminary approval from the HSE Research Ethics Committee (Ref: HSE-REC-2024-MOS)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Russia Moscow</dc:title>
  <dc:creator/>
  <dc:language>en</dc:language>
  <cp:keywords/>
  <dcterms:created xsi:type="dcterms:W3CDTF">2026-07-20T19:34:16Z</dcterms:created>
  <dcterms:modified xsi:type="dcterms:W3CDTF">2026-07-20T19:34:16Z</dcterms:modified>
</cp:coreProperties>
</file>

<file path=docProps/custom.xml><?xml version="1.0" encoding="utf-8"?>
<Properties xmlns="http://schemas.openxmlformats.org/officeDocument/2006/custom-properties" xmlns:vt="http://schemas.openxmlformats.org/officeDocument/2006/docPropsVTypes"/>
</file>