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Academic</w:t>
      </w:r>
      <w:r>
        <w:t xml:space="preserve"> </w:t>
      </w:r>
      <w:r>
        <w:t xml:space="preserve">Excellence</w:t>
      </w:r>
      <w:r>
        <w:t xml:space="preserve"> </w:t>
      </w:r>
      <w:r>
        <w:t xml:space="preserve">in</w:t>
      </w:r>
      <w:r>
        <w:t xml:space="preserve"> </w:t>
      </w:r>
      <w:r>
        <w:t xml:space="preserve">Saudi</w:t>
      </w:r>
      <w:r>
        <w:t xml:space="preserve"> </w:t>
      </w:r>
      <w:r>
        <w:t xml:space="preserve">Arabia</w:t>
      </w:r>
      <w:r>
        <w:t xml:space="preserve"> </w:t>
      </w:r>
      <w:r>
        <w:t xml:space="preserve">Riyadh</w:t>
      </w:r>
    </w:p>
    <w:bookmarkStart w:id="27" w:name="Xfc1a3d67f777aef4a8393288ca13696aacb40d8"/>
    <w:p>
      <w:pPr>
        <w:pStyle w:val="Heading1"/>
      </w:pPr>
      <w:r>
        <w:t xml:space="preserve">Thesis Proposal for the Position of Professor in Higher Education at King Saud University, Riyadh, Saudi Arabia</w:t>
      </w:r>
    </w:p>
    <w:p>
      <w:pPr>
        <w:pStyle w:val="FirstParagraph"/>
      </w:pPr>
      <w:r>
        <w:rPr>
          <w:bCs/>
          <w:b/>
        </w:rPr>
        <w:t xml:space="preserve">Prepared for:</w:t>
      </w:r>
      <w:r>
        <w:t xml:space="preserve"> </w:t>
      </w:r>
      <w:r>
        <w:t xml:space="preserve">The Academic Appointments Committee</w:t>
      </w:r>
      <w:r>
        <w:br/>
      </w:r>
      <w:r>
        <w:rPr>
          <w:bCs/>
          <w:b/>
        </w:rPr>
        <w:t xml:space="preserve">Institution:</w:t>
      </w:r>
      <w:r>
        <w:t xml:space="preserve"> </w:t>
      </w:r>
      <w:r>
        <w:t xml:space="preserve">King Saud University, Riyadh, Saudi Arabia</w:t>
      </w:r>
      <w:r>
        <w:br/>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This Thesis Proposal outlines a comprehensive research framework designed to enhance academic leadership and innovation within the higher education sector of Saudi Arabia Riyadh. As we accelerate progress toward Vision 2030, the appointment of a distinguished Professor in Educational Innovation is critical to transforming pedagogical approaches, fostering interdisciplinary collaboration, and positioning Riyadh as a global hub for knowledge production. This Proposal articulates how my research agenda directly addresses strategic priorities of the Kingdom while meeting international academic standards. The proposed work will inform institutional policies at King Saud University and contribute to national educational frameworks across Saudi Arabia Riyadh.</w:t>
      </w:r>
    </w:p>
    <w:bookmarkEnd w:id="20"/>
    <w:bookmarkStart w:id="21" w:name="ii.-research-background-and-significance"/>
    <w:p>
      <w:pPr>
        <w:pStyle w:val="Heading2"/>
      </w:pPr>
      <w:r>
        <w:t xml:space="preserve">II. Research Background and Significance</w:t>
      </w:r>
    </w:p>
    <w:p>
      <w:pPr>
        <w:pStyle w:val="FirstParagraph"/>
      </w:pPr>
      <w:r>
        <w:t xml:space="preserve">Saudi Arabia has embarked on an unprecedented educational transformation, with Riyadh serving as the epicenter of this reform. Current initiatives under Vision 2030 emphasize quality assurance, digital integration, and research commercialization – all requiring visionary academic leadership. However, a significant gap persists in evidence-based strategies for developing professoriate capacity within Saudi higher education institutions. Traditional teaching models often fail to engage diverse student cohorts or align with industry needs, limiting the Kingdom’s ability to cultivate talent for emerging sectors like AI, renewable energy, and healthcare.</w:t>
      </w:r>
    </w:p>
    <w:p>
      <w:pPr>
        <w:pStyle w:val="BodyText"/>
      </w:pPr>
      <w:r>
        <w:t xml:space="preserve">This Thesis Proposal directly responds to these challenges. As a Professor committed to advancing knowledge systems in Saudi Arabia Riyadh, I propose a longitudinal study examining how faculty development programs can be redesigned to integrate cultural context with global best practices. The research will analyze successful models from international universities while ensuring alignment with Islamic educational values and the Kingdom’s socio-economic goals. This work is not merely academic; it will shape the professional trajectory of hundreds of professors across Riyadh’s university ecosystem, directly supporting Saudi Arabia's ambition to become a top 10 global research nation by 2030.</w:t>
      </w:r>
    </w:p>
    <w:bookmarkEnd w:id="21"/>
    <w:bookmarkStart w:id="22" w:name="iii.-core-research-questions"/>
    <w:p>
      <w:pPr>
        <w:pStyle w:val="Heading2"/>
      </w:pPr>
      <w:r>
        <w:t xml:space="preserve">III. Core Research Questions</w:t>
      </w:r>
    </w:p>
    <w:p>
      <w:pPr>
        <w:numPr>
          <w:ilvl w:val="0"/>
          <w:numId w:val="1001"/>
        </w:numPr>
        <w:pStyle w:val="Compact"/>
      </w:pPr>
      <w:r>
        <w:t xml:space="preserve">How can faculty development frameworks be culturally contextualized to enhance teaching efficacy in Saudi Arabia Riyadh’s universities while maintaining international accreditation standards?</w:t>
      </w:r>
    </w:p>
    <w:p>
      <w:pPr>
        <w:numPr>
          <w:ilvl w:val="0"/>
          <w:numId w:val="1001"/>
        </w:numPr>
        <w:pStyle w:val="Compact"/>
      </w:pPr>
      <w:r>
        <w:t xml:space="preserve">What specific institutional mechanisms are most effective for embedding research-informed pedagogy among professors in STEM and humanities disciplines across Riyadh's academic landscape?</w:t>
      </w:r>
    </w:p>
    <w:p>
      <w:pPr>
        <w:numPr>
          <w:ilvl w:val="0"/>
          <w:numId w:val="1001"/>
        </w:numPr>
        <w:pStyle w:val="Compact"/>
      </w:pPr>
      <w:r>
        <w:t xml:space="preserve">In what ways can cross-institutional collaboration networks (e.g., King Saud University, Prince Sultan University, Alfaisal University) catalyze innovation in higher education delivery within Saudi Arabia Riyadh?</w:t>
      </w:r>
    </w:p>
    <w:bookmarkEnd w:id="22"/>
    <w:bookmarkStart w:id="23" w:name="iv.-methodology"/>
    <w:p>
      <w:pPr>
        <w:pStyle w:val="Heading2"/>
      </w:pPr>
      <w:r>
        <w:t xml:space="preserve">IV. Methodology</w:t>
      </w:r>
    </w:p>
    <w:p>
      <w:pPr>
        <w:pStyle w:val="FirstParagraph"/>
      </w:pPr>
      <w:r>
        <w:t xml:space="preserve">This interdisciplinary Thesis Proposal employs a mixed-methods approach validated through Saudi Arabian academic standards:</w:t>
      </w:r>
    </w:p>
    <w:p>
      <w:pPr>
        <w:numPr>
          <w:ilvl w:val="0"/>
          <w:numId w:val="1002"/>
        </w:numPr>
        <w:pStyle w:val="Compact"/>
      </w:pPr>
      <w:r>
        <w:rPr>
          <w:bCs/>
          <w:b/>
        </w:rPr>
        <w:t xml:space="preserve">Phase 1 (6 months):</w:t>
      </w:r>
      <w:r>
        <w:t xml:space="preserve"> </w:t>
      </w:r>
      <w:r>
        <w:t xml:space="preserve">Comprehensive literature review focused on Gulf-region education policies, cultural competence in pedagogy, and global professoriate development models. All sources will be vetted for alignment with Saudi Arabia’s National Strategy for Education.</w:t>
      </w:r>
    </w:p>
    <w:p>
      <w:pPr>
        <w:numPr>
          <w:ilvl w:val="0"/>
          <w:numId w:val="1002"/>
        </w:numPr>
        <w:pStyle w:val="Compact"/>
      </w:pPr>
      <w:r>
        <w:rPr>
          <w:bCs/>
          <w:b/>
        </w:rPr>
        <w:t xml:space="preserve">Phase 2 (12 months):</w:t>
      </w:r>
      <w:r>
        <w:t xml:space="preserve"> </w:t>
      </w:r>
      <w:r>
        <w:t xml:space="preserve">Qualitative case studies across five Riyadh universities, including faculty interviews and focus groups. We will specifically examine the impact of recent Ministry of Education reforms on professorial practices.</w:t>
      </w:r>
    </w:p>
    <w:p>
      <w:pPr>
        <w:numPr>
          <w:ilvl w:val="0"/>
          <w:numId w:val="1002"/>
        </w:numPr>
        <w:pStyle w:val="Compact"/>
      </w:pPr>
      <w:r>
        <w:rPr>
          <w:bCs/>
          <w:b/>
        </w:rPr>
        <w:t xml:space="preserve">Phase 3 (6 months):</w:t>
      </w:r>
      <w:r>
        <w:t xml:space="preserve"> </w:t>
      </w:r>
      <w:r>
        <w:t xml:space="preserve">Quantitative analysis using student learning outcomes data and faculty assessment metrics from King Saud University’s digital repository. This phase will employ statistical modeling to correlate professional development participation with educational quality indicators.</w:t>
      </w:r>
    </w:p>
    <w:p>
      <w:pPr>
        <w:numPr>
          <w:ilvl w:val="0"/>
          <w:numId w:val="1002"/>
        </w:numPr>
        <w:pStyle w:val="Compact"/>
      </w:pPr>
      <w:r>
        <w:rPr>
          <w:bCs/>
          <w:b/>
        </w:rPr>
        <w:t xml:space="preserve">Phase 4 (3 months):</w:t>
      </w:r>
      <w:r>
        <w:t xml:space="preserve"> </w:t>
      </w:r>
      <w:r>
        <w:t xml:space="preserve">Co-design workshops with the Ministry of Education, university leadership, and practicing Professors in Riyadh to translate findings into actionable policy briefs.</w:t>
      </w:r>
    </w:p>
    <w:bookmarkEnd w:id="23"/>
    <w:bookmarkStart w:id="24" w:name="v.-expected-contributions"/>
    <w:p>
      <w:pPr>
        <w:pStyle w:val="Heading2"/>
      </w:pPr>
      <w:r>
        <w:t xml:space="preserve">V. Expected Contributions</w:t>
      </w:r>
    </w:p>
    <w:p>
      <w:pPr>
        <w:pStyle w:val="FirstParagraph"/>
      </w:pPr>
      <w:r>
        <w:t xml:space="preserve">This Thesis Proposal promises transformative outcomes for Saudi Arabia Riyadh’s academic ecosystem:</w:t>
      </w:r>
    </w:p>
    <w:p>
      <w:pPr>
        <w:numPr>
          <w:ilvl w:val="0"/>
          <w:numId w:val="1003"/>
        </w:numPr>
        <w:pStyle w:val="Compact"/>
      </w:pPr>
      <w:r>
        <w:rPr>
          <w:bCs/>
          <w:b/>
        </w:rPr>
        <w:t xml:space="preserve">For Faculty Development:</w:t>
      </w:r>
      <w:r>
        <w:t xml:space="preserve"> </w:t>
      </w:r>
      <w:r>
        <w:t xml:space="preserve">A culturally-responsive "Professor Excellence Framework" tailored to Riyadh’s unique academic context, addressing language barriers, gender-inclusive pedagogy, and technology integration.</w:t>
      </w:r>
    </w:p>
    <w:p>
      <w:pPr>
        <w:numPr>
          <w:ilvl w:val="0"/>
          <w:numId w:val="1003"/>
        </w:numPr>
        <w:pStyle w:val="Compact"/>
      </w:pPr>
      <w:r>
        <w:rPr>
          <w:bCs/>
          <w:b/>
        </w:rPr>
        <w:t xml:space="preserve">For Institutional Strategy:</w:t>
      </w:r>
      <w:r>
        <w:t xml:space="preserve"> </w:t>
      </w:r>
      <w:r>
        <w:t xml:space="preserve">Evidence-based guidelines for universities in Saudi Arabia Riyadh to design sustainable faculty growth programs that reduce reliance on expatriate professors while attracting top talent.</w:t>
      </w:r>
    </w:p>
    <w:p>
      <w:pPr>
        <w:numPr>
          <w:ilvl w:val="0"/>
          <w:numId w:val="1003"/>
        </w:numPr>
        <w:pStyle w:val="Compact"/>
      </w:pPr>
      <w:r>
        <w:rPr>
          <w:bCs/>
          <w:b/>
        </w:rPr>
        <w:t xml:space="preserve">For National Vision 2030:</w:t>
      </w:r>
      <w:r>
        <w:t xml:space="preserve"> </w:t>
      </w:r>
      <w:r>
        <w:t xml:space="preserve">Direct alignment with the Kingdom’s "Saudization" objectives and Knowledge Economy initiative through research demonstrating measurable ROI on academic investment.</w:t>
      </w:r>
    </w:p>
    <w:p>
      <w:pPr>
        <w:numPr>
          <w:ilvl w:val="0"/>
          <w:numId w:val="1003"/>
        </w:numPr>
        <w:pStyle w:val="Compact"/>
      </w:pPr>
      <w:r>
        <w:rPr>
          <w:bCs/>
          <w:b/>
        </w:rPr>
        <w:t xml:space="preserve">For Global Scholarship:</w:t>
      </w:r>
      <w:r>
        <w:t xml:space="preserve"> </w:t>
      </w:r>
      <w:r>
        <w:t xml:space="preserve">A published monograph on Middle Eastern educational innovation, positioning Saudi Arabia Riyadh as a leader in contextually adaptive academia rather than merely adopting Western models.</w:t>
      </w:r>
    </w:p>
    <w:bookmarkEnd w:id="24"/>
    <w:bookmarkStart w:id="25" w:name="vi.-implementation-timeline"/>
    <w:p>
      <w:pPr>
        <w:pStyle w:val="Heading2"/>
      </w:pPr>
      <w:r>
        <w:t xml:space="preserve">VI. Implementation 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Contextual Analysis</w:t>
      </w:r>
    </w:p>
    <w:p>
      <w:pPr>
        <w:pStyle w:val="BodyText"/>
      </w:pPr>
      <w:r>
        <w:t xml:space="preserve">Months 1-6</w:t>
      </w:r>
    </w:p>
    <w:p>
      <w:pPr>
        <w:pStyle w:val="BodyText"/>
      </w:pPr>
      <w:r>
        <w:t xml:space="preserve">Cultural Framework Report; Policy Gap Analysis for Saudi Arabia Riyadh Universities</w:t>
      </w:r>
    </w:p>
    <w:p>
      <w:pPr>
        <w:pStyle w:val="BodyText"/>
      </w:pPr>
      <w:r>
        <w:t xml:space="preserve">Field Research &amp; Data Collection</w:t>
      </w:r>
    </w:p>
    <w:p>
      <w:pPr>
        <w:pStyle w:val="BodyText"/>
      </w:pPr>
      <w:r>
        <w:t xml:space="preserve">Months 7-18</w:t>
      </w:r>
    </w:p>
    <w:p>
      <w:pPr>
        <w:pStyle w:val="BodyText"/>
      </w:pPr>
      <w:r>
        <w:t xml:space="preserve">Case Study Reports; Faculty Development Diagnostic Tool</w:t>
      </w:r>
    </w:p>
    <w:p>
      <w:pPr>
        <w:pStyle w:val="BodyText"/>
      </w:pPr>
      <w:r>
        <w:t xml:space="preserve">Data Synthesis &amp; Model Development</w:t>
      </w:r>
    </w:p>
    <w:p>
      <w:pPr>
        <w:pStyle w:val="BodyText"/>
      </w:pPr>
      <w:r>
        <w:t xml:space="preserve">Months 19-24</w:t>
      </w:r>
    </w:p>
    <w:p>
      <w:pPr>
        <w:pStyle w:val="BodyText"/>
      </w:pPr>
      <w:r>
        <w:t xml:space="preserve">"Professor Excellence Framework" Prototype; Validation Workshop with Riyadh University Deans</w:t>
      </w:r>
    </w:p>
    <w:bookmarkEnd w:id="25"/>
    <w:bookmarkStart w:id="26" w:name="vii.-conclusion"/>
    <w:p>
      <w:pPr>
        <w:pStyle w:val="Heading2"/>
      </w:pPr>
      <w:r>
        <w:t xml:space="preserve">VII. Conclusion</w:t>
      </w:r>
    </w:p>
    <w:p>
      <w:pPr>
        <w:pStyle w:val="FirstParagraph"/>
      </w:pPr>
      <w:r>
        <w:t xml:space="preserve">This Thesis Proposal represents a strategic investment in Saudi Arabia’s most valuable asset: its academic talent. By focusing on the role of Professor as both educator and innovator, this research directly supports the Kingdom’s commitment to building knowledge-based institutions in Riyadh that serve local communities while contributing globally. The proposed work will generate actionable insights for policymakers, provide practical resources for current Professors across Saudi Arabia Riyadh universities, and establish a replicable model for higher education transformation in Muslim-majority nations.</w:t>
      </w:r>
    </w:p>
    <w:p>
      <w:pPr>
        <w:pStyle w:val="BodyText"/>
      </w:pPr>
      <w:r>
        <w:t xml:space="preserve">Crucially, this research transcends traditional academic boundaries by centering on the lived experiences of professors within our cultural context. It rejects one-size-fits-all solutions in favor of nuanced strategies that honor Saudi heritage while embracing international excellence. As a candidate for this Professorship, I commit to ensuring every phase of this Thesis Proposal remains deeply embedded in Riyadh’s educational reality – from data collection methods designed with local ethical protocols to findings co-developed with community stakeholders.</w:t>
      </w:r>
    </w:p>
    <w:p>
      <w:pPr>
        <w:pStyle w:val="BodyText"/>
      </w:pPr>
      <w:r>
        <w:t xml:space="preserve">Investing in this Thesis Proposal is equivalent to investing in the intellectual capital that will drive Saudi Arabia Riyadh’s emergence as a 21st-century knowledge economy. It is not merely an academic exercise; it is a blueprint for sustaining educational excellence across generations of Saudi students and faculty. I welcome the opportunity to collaborate with King Saud University’s leadership to transform this vision into reality, ensuring our Thesis Proposal delivers tangible impact within the Kingdom’s strategic timeline.</w:t>
      </w:r>
    </w:p>
    <w:p>
      <w:pPr>
        <w:pStyle w:val="BodyText"/>
      </w:pPr>
      <w:r>
        <w:rPr>
          <w:bCs/>
          <w:b/>
        </w:rPr>
        <w:t xml:space="preserve">Word Count:</w:t>
      </w:r>
      <w:r>
        <w:t xml:space="preserve"> </w:t>
      </w:r>
      <w:r>
        <w:t xml:space="preserve">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Academic Excellence in Saudi Arabia Riyadh</dc:title>
  <dc:creator/>
  <dc:language>en</dc:language>
  <cp:keywords/>
  <dcterms:created xsi:type="dcterms:W3CDTF">2026-07-15T02:16:52Z</dcterms:created>
  <dcterms:modified xsi:type="dcterms:W3CDTF">2026-07-15T02:16:52Z</dcterms:modified>
</cp:coreProperties>
</file>

<file path=docProps/custom.xml><?xml version="1.0" encoding="utf-8"?>
<Properties xmlns="http://schemas.openxmlformats.org/officeDocument/2006/custom-properties" xmlns:vt="http://schemas.openxmlformats.org/officeDocument/2006/docPropsVTypes"/>
</file>