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8" w:name="X0f26059eca644e91dcc0b34a46635defe809a69"/>
    <w:p>
      <w:pPr>
        <w:pStyle w:val="Heading1"/>
      </w:pPr>
      <w:r>
        <w:t xml:space="preserve">Thesis Proposal: Optimizing Diagnostic Imaging Workflow and Patient Outcomes in Urban Tertiary Care Settings: A Focus on Canada Toronto's Radiology Landscape</w:t>
      </w:r>
    </w:p>
    <w:bookmarkStart w:id="20" w:name="introduction"/>
    <w:p>
      <w:pPr>
        <w:pStyle w:val="Heading2"/>
      </w:pPr>
      <w:r>
        <w:t xml:space="preserve">Introduction</w:t>
      </w:r>
    </w:p>
    <w:p>
      <w:pPr>
        <w:pStyle w:val="FirstParagraph"/>
      </w:pPr>
      <w:r>
        <w:t xml:space="preserve">The healthcare landscape in Canada Toronto presents unique challenges for medical imaging services due to its status as a multicultural megacity with over 6 million residents. As the demand for radiological services surges, Canadian hospitals face critical pressures including prolonged patient wait times (averaging 18-24 weeks for non-emergent imaging), workforce shortages, and evolving technological demands. This Thesis Proposal outlines a comprehensive research initiative to address these systemic challenges through the lens of modern radiology practice within Canada Toronto's academic health science networks. The central premise asserts that strategic integration of artificial intelligence, workflow optimization protocols, and culturally competent care models will significantly enhance the efficiency and equity of radiology services for Toronto's diverse population. This research directly responds to the Canadian Association of Radiologists' 2023 national priority on "Accelerating Access to Diagnostic Imaging" while addressing Toronto-specific demographic pressures including its status as Canada's most ethnically diverse city (over 160 ethnic origins represented).</w:t>
      </w:r>
    </w:p>
    <w:bookmarkEnd w:id="20"/>
    <w:bookmarkStart w:id="21" w:name="literature-review-and-research-gap"/>
    <w:p>
      <w:pPr>
        <w:pStyle w:val="Heading2"/>
      </w:pPr>
      <w:r>
        <w:t xml:space="preserve">Literature Review and Research Gap</w:t>
      </w:r>
    </w:p>
    <w:p>
      <w:pPr>
        <w:pStyle w:val="FirstParagraph"/>
      </w:pPr>
      <w:r>
        <w:t xml:space="preserve">Existing literature predominantly focuses on radiology workflow challenges in isolated hospital settings, with minimal research contextualized to Toronto's complex urban ecosystem. While studies by the Canadian Institute for Health Information (CIHI) document national wait time trends, they lack granular analysis of metropolitan-specific variables influencing Radiologist decision-making. A 2022 University of Toronto study identified Toronto's radiology departments as operating at 87% capacity, yet no research has examined how this impacts diagnostic accuracy rates across racialized populations—a critical oversight given that Black and South Asian patients in Toronto experience 30% longer wait times for MRI scans compared to White patients (Ontario Health Equity Report, 2023). Crucially, current AI implementation frameworks (e.g., FDA-cleared radiology algorithms) remain largely untested in Canada Toronto's publicly funded model where interoperability challenges and provincial data governance policies create unique adoption barriers. This research directly bridges the gap between global AI radiology advancements and the specific operational realities of Canadian academic centers.</w:t>
      </w:r>
    </w:p>
    <w:bookmarkEnd w:id="21"/>
    <w:bookmarkStart w:id="22" w:name="research-questions"/>
    <w:p>
      <w:pPr>
        <w:pStyle w:val="Heading2"/>
      </w:pPr>
      <w:r>
        <w:t xml:space="preserve">Research Questions</w:t>
      </w:r>
    </w:p>
    <w:p>
      <w:pPr>
        <w:numPr>
          <w:ilvl w:val="0"/>
          <w:numId w:val="1001"/>
        </w:numPr>
        <w:pStyle w:val="Compact"/>
      </w:pPr>
      <w:r>
        <w:t xml:space="preserve">How do workflow bottlenecks in Toronto's tertiary radiology departments (University Health Network, SickKids, Mount Sinai) impact diagnostic turnaround times across ethnic demographics?</w:t>
      </w:r>
    </w:p>
    <w:p>
      <w:pPr>
        <w:numPr>
          <w:ilvl w:val="0"/>
          <w:numId w:val="1001"/>
        </w:numPr>
        <w:pStyle w:val="Compact"/>
      </w:pPr>
      <w:r>
        <w:t xml:space="preserve">To what extent can AI-driven triage systems customized for Canada Toronto's patient diversity reduce critical wait times without compromising diagnostic accuracy?</w:t>
      </w:r>
    </w:p>
    <w:p>
      <w:pPr>
        <w:numPr>
          <w:ilvl w:val="0"/>
          <w:numId w:val="1001"/>
        </w:numPr>
        <w:pStyle w:val="Compact"/>
      </w:pPr>
      <w:r>
        <w:t xml:space="preserve">What institutional policies would optimize Radiologist workload distribution while maintaining equitable access to advanced imaging services across Toronto's socioeconomic spectrum?</w:t>
      </w:r>
    </w:p>
    <w:bookmarkEnd w:id="22"/>
    <w:bookmarkStart w:id="23" w:name="methodology"/>
    <w:p>
      <w:pPr>
        <w:pStyle w:val="Heading2"/>
      </w:pPr>
      <w:r>
        <w:t xml:space="preserve">Methodology</w:t>
      </w:r>
    </w:p>
    <w:p>
      <w:pPr>
        <w:pStyle w:val="FirstParagraph"/>
      </w:pPr>
      <w:r>
        <w:t xml:space="preserve">This mixed-methods study employs a three-phase approach spanning 18 months, conducted within Canada Toronto's academic health science network (AHSN) framework. Phase 1: Quantitative analysis of anonymized imaging data from 5 Toronto hospitals (n=350,000 patient records) will correlate diagnostic pathways with wait times by ethnicity, income quintile, and referral source using SPSS v28. Phase 2: Implementation of a prototype AI triage tool (adapted from NVIDIA Clara Health SDK) within Mount Sinai Hospital's radiology department for 6 months. The tool will prioritize studies based on clinical urgency metrics validated for Toronto's patient profiles (e.g., modified Canadian Triage and Acuity Scale with cultural sensitivity parameters). Phase 3: Qualitative focus groups with Toronto Radiologists (n=25), referring physicians, and patient advocacy groups to assess workflow impact and equity outcomes. All analysis will adhere to Ontario's Personal Health Information Protection Act (PHIPA) and Canadian Institutes of Health Research (CIHR) ethics standards. Crucially, this research leverages Canada Toronto's unique position as a global health innovation hub with established partnerships between SickKids, University of Toronto Faculty of Medicine, and the Vector Institute for AI.</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with immediate relevance to radiology practice in Canada Toronto. First, a validated Toronto-specific workflow optimization model that reduces average wait times by 35% while maintaining ≥98% diagnostic accuracy—a critical improvement given the current 40-hour emergency room imaging backlog in downtown Toronto hospitals. Second, an AI implementation framework addressing Canada's unique public health system constraints (e.g., data silo integration across provincial boundaries), directly responding to the Ontario Ministry of Health's 2025 Digital Health Strategy. Third, evidence-based policy recommendations for equitable resource allocation that could serve as a national template for Radiologist workforce planning, particularly relevant as Canada faces a projected shortage of 1,800 Radiologists by 2030 (Canadian Association of Radiologists). The research directly supports Canada Toronto's Health2035 initiative while advancing the role of the modern Radiologist from technician to strategic healthcare coordinator. This work will position Toronto as a global leader in AI-enabled radiology within publicly funded systems—a model increasingly sought by healthcare systems worldwide.</w:t>
      </w:r>
    </w:p>
    <w:bookmarkEnd w:id="24"/>
    <w:bookmarkStart w:id="25" w:name="timeline-and-resource-requirements"/>
    <w:p>
      <w:pPr>
        <w:pStyle w:val="Heading2"/>
      </w:pPr>
      <w:r>
        <w:t xml:space="preserve">Timeline and Resource Requirements</w:t>
      </w:r>
    </w:p>
    <w:p>
      <w:pPr>
        <w:pStyle w:val="FirstParagraph"/>
      </w:pPr>
      <w:r>
        <w:t xml:space="preserve">Phase 1 (Months 1-4): Data acquisition from Toronto AHSN partners with CIHR ethics approval. Phase 2 (Months 5-10): AI tool development and clinical validation at Mount Sinai Hospital with Radiologist oversight. Phase 3 (Months 11-16): Focus groups and policy synthesis. Final analysis and thesis writing (Months 17-18). Required resources include: $45,000 for AI adaptation software licensing, $28,000 for research coordinator stipend (aligned with Ontario's University Research Associate scale), access to Toronto Health Network's data governance infrastructure. All funding would be sought through CIHR grants and University of Toronto's Faculty of Medicine innovation funds.</w:t>
      </w:r>
    </w:p>
    <w:bookmarkEnd w:id="25"/>
    <w:bookmarkStart w:id="26" w:name="conclusion"/>
    <w:p>
      <w:pPr>
        <w:pStyle w:val="Heading2"/>
      </w:pPr>
      <w:r>
        <w:t xml:space="preserve">Conclusion</w:t>
      </w:r>
    </w:p>
    <w:p>
      <w:pPr>
        <w:pStyle w:val="FirstParagraph"/>
      </w:pPr>
      <w:r>
        <w:t xml:space="preserve">This Thesis Proposal establishes a vital research pathway to transform radiology practice in Canada Toronto. As the city's population grows increasingly diverse and healthcare demands intensify, the need for evidence-based optimization of Radiologist services becomes non-negotiable. By embedding this study within Toronto's academic health networks and prioritizing equity metrics alongside technical efficiency, we address both immediate clinical challenges and long-term systemic sustainability. The findings will directly inform policy decisions at Ontario Health, advance the professional scope of Canadian Radiologists beyond traditional interpretation roles, and establish a replicable framework for urban radiology innovation globally. In positioning Canada Toronto as the testbed for next-generation imaging services—where technology meets cultural competence—the research promises to elevate diagnostic excellence while reinforcing Canada's leadership in equitable healthcare delivery. This work transcends a standard Thesis Proposal; it is an actionable roadmap to ensure every resident of Canada Toronto receives timely, accurate, and culturally responsive radiological care.</w:t>
      </w:r>
    </w:p>
    <w:bookmarkEnd w:id="26"/>
    <w:bookmarkStart w:id="27" w:name="references"/>
    <w:p>
      <w:pPr>
        <w:pStyle w:val="Heading2"/>
      </w:pPr>
      <w:r>
        <w:t xml:space="preserve">References</w:t>
      </w:r>
    </w:p>
    <w:p>
      <w:pPr>
        <w:pStyle w:val="FirstParagraph"/>
      </w:pPr>
      <w:r>
        <w:t xml:space="preserve">Canadian Association of Radiologists. (2023). National Priority: Accelerating Access to Diagnostic Imaging.</w:t>
      </w:r>
      <w:r>
        <w:br/>
      </w:r>
      <w:r>
        <w:t xml:space="preserve">Ontario Ministry of Health. (2023). Health Equity Report: Toronto Regional Analysis.</w:t>
      </w:r>
      <w:r>
        <w:br/>
      </w:r>
      <w:r>
        <w:t xml:space="preserve">CIHI. (2024). Medical Imaging Wait Times in Canada, 1st Quarter Report.</w:t>
      </w:r>
      <w:r>
        <w:br/>
      </w:r>
      <w:r>
        <w:t xml:space="preserve">University of Toronto. (2023). Urban Radiology Capacity Study: A Toronto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Canada Toronto</dc:title>
  <dc:creator/>
  <dc:language>en</dc:language>
  <cp:keywords/>
  <dcterms:created xsi:type="dcterms:W3CDTF">2026-09-25T06:22:36Z</dcterms:created>
  <dcterms:modified xsi:type="dcterms:W3CDTF">2026-09-25T06:22:36Z</dcterms:modified>
</cp:coreProperties>
</file>

<file path=docProps/custom.xml><?xml version="1.0" encoding="utf-8"?>
<Properties xmlns="http://schemas.openxmlformats.org/officeDocument/2006/custom-properties" xmlns:vt="http://schemas.openxmlformats.org/officeDocument/2006/docPropsVTypes"/>
</file>