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9" w:name="Xfeec4b236944c45e87cd0abcd40b7e3ffcdffc9"/>
    <w:p>
      <w:pPr>
        <w:pStyle w:val="Heading1"/>
      </w:pPr>
      <w:r>
        <w:t xml:space="preserve">Thesis Proposal: Advancing Robotics Engineering Applications in Urban Environments of Australia Melbourne</w:t>
      </w:r>
    </w:p>
    <w:bookmarkStart w:id="20" w:name="introduction-and-background"/>
    <w:p>
      <w:pPr>
        <w:pStyle w:val="Heading2"/>
      </w:pPr>
      <w:r>
        <w:t xml:space="preserve">1. Introduction and Background</w:t>
      </w:r>
    </w:p>
    <w:p>
      <w:pPr>
        <w:pStyle w:val="FirstParagraph"/>
      </w:pPr>
      <w:r>
        <w:t xml:space="preserve">The rapid evolution of robotics engineering has positioned it as a cornerstone technology for addressing 21st-century urban challenges. As Australia's second-largest city and a global hub for innovation, Melbourne presents a compelling case study for integrating advanced robotics into its dynamic social, economic, and environmental landscape. This Thesis Proposal outlines a comprehensive research agenda focused on developing context-aware robotics systems tailored to the unique demands of Australia Melbourne. The urgency of this work is underscored by Melbourne's ambitious Smart City initiatives, projected population growth to 8 million by 2050, and increasing pressure on infrastructure sustainability. Current robotics deployments in Australian urban settings often fail to account for localized factors including climate variability, regulatory frameworks, multicultural user needs, and Australia-specific legislation—creating a critical gap this research aims to bridge. As a Robotics Engineer operating within the Australian context, understanding these nuances is not merely academic but essential for creating socially embedded technology.</w:t>
      </w:r>
    </w:p>
    <w:bookmarkEnd w:id="20"/>
    <w:bookmarkStart w:id="21" w:name="problem-statement"/>
    <w:p>
      <w:pPr>
        <w:pStyle w:val="Heading2"/>
      </w:pPr>
      <w:r>
        <w:t xml:space="preserve">2. Problem Statement</w:t>
      </w:r>
    </w:p>
    <w:p>
      <w:pPr>
        <w:pStyle w:val="FirstParagraph"/>
      </w:pPr>
      <w:r>
        <w:t xml:space="preserve">Despite Melbourne's emergence as an innovation leader in Australia—with institutions like RMIT University, Monash University, and the Victorian Centre for Robotics Technology driving research—robotics applications remain largely disconnected from urban realities. Existing systems often replicate overseas models without addressing local constraints: extreme weather conditions (heatwaves exceeding 45°C), diverse pedestrian cultures, complex building regulations under the National Construction Code, and unique environmental considerations like native bushfire management. The absence of a cohesive framework for Robotics Engineers to operationalize these systems within Melbourne's specific socio-technical ecosystem represents a significant barrier to scalable implementation. This gap impedes Melbourne's potential to become Australia's robotics innovation capital and limits the effectiveness of emerging solutions in sectors critical to Australian urban life: healthcare, logistics, emergency services, and sustainable infrastructure.</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 for advancing Robotics Engineering practice in Australia Melbourne:</w:t>
      </w:r>
    </w:p>
    <w:p>
      <w:pPr>
        <w:numPr>
          <w:ilvl w:val="0"/>
          <w:numId w:val="1001"/>
        </w:numPr>
        <w:pStyle w:val="Compact"/>
      </w:pPr>
      <w:r>
        <w:rPr>
          <w:bCs/>
          <w:b/>
        </w:rPr>
        <w:t xml:space="preserve">Contextual Adaptation Framework:</w:t>
      </w:r>
      <w:r>
        <w:t xml:space="preserve"> </w:t>
      </w:r>
      <w:r>
        <w:t xml:space="preserve">Develop a methodology for Robotics Engineers to design systems responsive to Melbourne's environmental, regulatory, and cultural context.</w:t>
      </w:r>
    </w:p>
    <w:p>
      <w:pPr>
        <w:numPr>
          <w:ilvl w:val="0"/>
          <w:numId w:val="1001"/>
        </w:numPr>
        <w:pStyle w:val="Compact"/>
      </w:pPr>
      <w:r>
        <w:rPr>
          <w:bCs/>
          <w:b/>
        </w:rPr>
        <w:t xml:space="preserve">Social Acceptance Metrics:</w:t>
      </w:r>
      <w:r>
        <w:t xml:space="preserve"> </w:t>
      </w:r>
      <w:r>
        <w:t xml:space="preserve">Establish quantifiable indicators for public trust and adoption of robotics across Melbourne's culturally diverse communities (including Indigenous perspectives).</w:t>
      </w:r>
    </w:p>
    <w:p>
      <w:pPr>
        <w:numPr>
          <w:ilvl w:val="0"/>
          <w:numId w:val="1001"/>
        </w:numPr>
        <w:pStyle w:val="Compact"/>
      </w:pPr>
      <w:r>
        <w:rPr>
          <w:bCs/>
          <w:b/>
        </w:rPr>
        <w:t xml:space="preserve">Infrastructure Integration Protocol:</w:t>
      </w:r>
      <w:r>
        <w:t xml:space="preserve"> </w:t>
      </w:r>
      <w:r>
        <w:t xml:space="preserve">Create standards for seamless interaction between robotic systems and Melbourne's existing urban infrastructure, addressing unique challenges like laneway navigation and heritage building constraints.</w:t>
      </w:r>
    </w:p>
    <w:p>
      <w:pPr>
        <w:numPr>
          <w:ilvl w:val="0"/>
          <w:numId w:val="1001"/>
        </w:numPr>
        <w:pStyle w:val="Compact"/>
      </w:pPr>
      <w:r>
        <w:rPr>
          <w:bCs/>
          <w:b/>
        </w:rPr>
        <w:t xml:space="preserve">Case Study Validation:</w:t>
      </w:r>
      <w:r>
        <w:t xml:space="preserve"> </w:t>
      </w:r>
      <w:r>
        <w:t xml:space="preserve">Implement and evaluate three real-world applications within Melbourne (e.g., hospital logistics at Royal Melbourne Hospital, waste management in Docklands, community safety drones in Fitzroy Gardens) to validate the proposed framework.</w:t>
      </w:r>
    </w:p>
    <w:bookmarkEnd w:id="22"/>
    <w:bookmarkStart w:id="23" w:name="Xd0b7372c70804f9dc4506ab7e3305d06fd3eeea"/>
    <w:p>
      <w:pPr>
        <w:pStyle w:val="Heading2"/>
      </w:pPr>
      <w:r>
        <w:t xml:space="preserve">4. Literature Review: Gaps in Australian Context</w:t>
      </w:r>
    </w:p>
    <w:p>
      <w:pPr>
        <w:pStyle w:val="FirstParagraph"/>
      </w:pPr>
      <w:r>
        <w:t xml:space="preserve">Global robotics research predominantly focuses on North American and European environments (e.g., Boston Dynamics' Boston deployments, EU's Horizon 2020 projects). While seminal works by Siciliano (2017) on robot-human interaction or Khatib's (2018) motion planning provide foundational knowledge, they lack Australian urban specificity. Recent Australian studies like the CSIRO "Robotics in Cities" report (2023) identify infrastructure gaps but offer no implementation roadmap. Crucially, no research has examined how Melbourne's unique factors—such as its high density of heritage buildings (over 12,000 protected structures), variable microclimates across suburbs like the Yarra Valley versus inner-city heat islands, and the Victorian Planning Provisions' impact on robot deployment—necessitate customized robotics engineering approaches. This Thesis Proposal directly addresses this void.</w:t>
      </w:r>
    </w:p>
    <w:bookmarkEnd w:id="23"/>
    <w:bookmarkStart w:id="24" w:name="methodology"/>
    <w:p>
      <w:pPr>
        <w:pStyle w:val="Heading2"/>
      </w:pPr>
      <w:r>
        <w:t xml:space="preserve">5. Methodology</w:t>
      </w:r>
    </w:p>
    <w:p>
      <w:pPr>
        <w:pStyle w:val="FirstParagraph"/>
      </w:pPr>
      <w:r>
        <w:t xml:space="preserve">This research employs a mixed-methods approach grounded in Melbourne's ecosystem:</w:t>
      </w:r>
    </w:p>
    <w:p>
      <w:pPr>
        <w:numPr>
          <w:ilvl w:val="0"/>
          <w:numId w:val="1002"/>
        </w:numPr>
        <w:pStyle w:val="Compact"/>
      </w:pPr>
      <w:r>
        <w:rPr>
          <w:bCs/>
          <w:b/>
        </w:rPr>
        <w:t xml:space="preserve">Stakeholder Co-Creation:</w:t>
      </w:r>
      <w:r>
        <w:t xml:space="preserve"> </w:t>
      </w:r>
      <w:r>
        <w:t xml:space="preserve">Collaborate with key Melbourne entities including City of Melbourne, VicRoads, local councils (e.g., Yarra City Council), and robotics startups like RoboKare to define context-specific requirements.</w:t>
      </w:r>
    </w:p>
    <w:p>
      <w:pPr>
        <w:numPr>
          <w:ilvl w:val="0"/>
          <w:numId w:val="1002"/>
        </w:numPr>
        <w:pStyle w:val="Compact"/>
      </w:pPr>
      <w:r>
        <w:rPr>
          <w:bCs/>
          <w:b/>
        </w:rPr>
        <w:t xml:space="preserve">Environmental Sensing Network:</w:t>
      </w:r>
      <w:r>
        <w:t xml:space="preserve"> </w:t>
      </w:r>
      <w:r>
        <w:t xml:space="preserve">Deploy IoT sensors across 10 Melbourne sites to collect real-time data on weather extremes, pedestrian flow patterns, and infrastructure conditions—feeding into adaptive robot decision algorithms.</w:t>
      </w:r>
    </w:p>
    <w:p>
      <w:pPr>
        <w:numPr>
          <w:ilvl w:val="0"/>
          <w:numId w:val="1002"/>
        </w:numPr>
        <w:pStyle w:val="Compact"/>
      </w:pPr>
      <w:r>
        <w:rPr>
          <w:bCs/>
          <w:b/>
        </w:rPr>
        <w:t xml:space="preserve">Participatory Design Workshops:</w:t>
      </w:r>
      <w:r>
        <w:t xml:space="preserve"> </w:t>
      </w:r>
      <w:r>
        <w:t xml:space="preserve">Conduct community sessions in diverse suburbs (e.g., Footscray for multicultural engagement, Southbank for high-density trials) to incorporate user needs directly into Robotics Engineer workflows.</w:t>
      </w:r>
    </w:p>
    <w:p>
      <w:pPr>
        <w:numPr>
          <w:ilvl w:val="0"/>
          <w:numId w:val="1002"/>
        </w:numPr>
        <w:pStyle w:val="Compact"/>
      </w:pPr>
      <w:r>
        <w:rPr>
          <w:bCs/>
          <w:b/>
        </w:rPr>
        <w:t xml:space="preserve">Comparative Simulation:</w:t>
      </w:r>
      <w:r>
        <w:t xml:space="preserve"> </w:t>
      </w:r>
      <w:r>
        <w:t xml:space="preserve">Use Melbourne-specific digital twins (developed with Monash University's Centre for Urban Research) to model robot performance across varied urban scenarios before physical deployment.</w:t>
      </w:r>
    </w:p>
    <w:p>
      <w:pPr>
        <w:pStyle w:val="FirstParagraph"/>
      </w:pPr>
      <w:r>
        <w:t xml:space="preserve">The methodology prioritizes ethical robotics engineering aligned with Australia's AI Ethics Framework and ensures all outcomes are transferable to other Australian cities through the National Robotics Strategy 2031.</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framework for Melbourne-specific robotics engineering, directly usable by Robotics Engineers designing systems for Australian urban contexts.</w:t>
      </w:r>
    </w:p>
    <w:p>
      <w:pPr>
        <w:numPr>
          <w:ilvl w:val="0"/>
          <w:numId w:val="1003"/>
        </w:numPr>
        <w:pStyle w:val="Compact"/>
      </w:pPr>
      <w:r>
        <w:t xml:space="preserve">Policy recommendations for the Victorian Department of Transport on regulatory pathways for autonomous delivery robots in Melbourne's laneways (addressing current legal ambiguities).</w:t>
      </w:r>
    </w:p>
    <w:p>
      <w:pPr>
        <w:numPr>
          <w:ilvl w:val="0"/>
          <w:numId w:val="1003"/>
        </w:numPr>
        <w:pStyle w:val="Compact"/>
      </w:pPr>
      <w:r>
        <w:t xml:space="preserve">Public trust metrics enabling Robotics Engineers to quantify social acceptance—critical for securing community buy-in in Australia's diverse cities.</w:t>
      </w:r>
    </w:p>
    <w:p>
      <w:pPr>
        <w:numPr>
          <w:ilvl w:val="0"/>
          <w:numId w:val="1003"/>
        </w:numPr>
        <w:pStyle w:val="Compact"/>
      </w:pPr>
      <w:r>
        <w:t xml:space="preserve">A scalable model adopted by key Melbourne institutions, positioning Victoria as a national leader in robotics implementation.</w:t>
      </w:r>
    </w:p>
    <w:p>
      <w:pPr>
        <w:pStyle w:val="FirstParagraph"/>
      </w:pPr>
      <w:r>
        <w:t xml:space="preserve">The significance extends beyond academia: By providing actionable insights for Robotics Engineers operating within Australia Melbourne, this research directly supports the Victorian Government's $300 million Smart City Fund and contributes to reducing urban carbon footprints through optimized logistics (projected 15% fuel savings in Melbourne by 2035). Crucially, it empowers Robotics Engineers to navigate Australia's complex regulatory landscape—where the Australian Competition and Consumer Commission (ACCC) recently updated its robotics consumer protection guidelines—ensuring solutions are both innovative and legally compliant.</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Stakeholder engagement (City of Melbourne, universities), environmental data collection, framework development.</w:t>
      </w:r>
    </w:p>
    <w:p>
      <w:pPr>
        <w:pStyle w:val="BodyText"/>
      </w:pPr>
      <w:r>
        <w:rPr>
          <w:bCs/>
          <w:b/>
        </w:rPr>
        <w:t xml:space="preserve">Year 2:</w:t>
      </w:r>
      <w:r>
        <w:t xml:space="preserve"> </w:t>
      </w:r>
      <w:r>
        <w:t xml:space="preserve">Co-design workshops, prototype testing at Royal Melbourne Hospital and Docklands waste facilities.</w:t>
      </w:r>
    </w:p>
    <w:p>
      <w:pPr>
        <w:pStyle w:val="BodyText"/>
      </w:pPr>
      <w:r>
        <w:rPr>
          <w:bCs/>
          <w:b/>
        </w:rPr>
        <w:t xml:space="preserve">Year 3:</w:t>
      </w:r>
      <w:r>
        <w:t xml:space="preserve"> </w:t>
      </w:r>
      <w:r>
        <w:t xml:space="preserve">Full deployment validation, policy integration with Victorian government bodies.</w:t>
      </w:r>
    </w:p>
    <w:p>
      <w:pPr>
        <w:pStyle w:val="BodyText"/>
      </w:pPr>
      <w:r>
        <w:t xml:space="preserve">Required resources include access to Melbourne's urban testbeds (e.g., the City of Melbourne’s Living Lab), RMIT’s robotics lab, and a $185,000 grant covering sensor networks and community engagement. All data will be processed through Melbourne University's high-performance computing facility.</w:t>
      </w:r>
    </w:p>
    <w:bookmarkEnd w:id="26"/>
    <w:bookmarkStart w:id="27" w:name="conclusion"/>
    <w:p>
      <w:pPr>
        <w:pStyle w:val="Heading2"/>
      </w:pPr>
      <w:r>
        <w:t xml:space="preserve">8. Conclusion</w:t>
      </w:r>
    </w:p>
    <w:p>
      <w:pPr>
        <w:pStyle w:val="FirstParagraph"/>
      </w:pPr>
      <w:r>
        <w:t xml:space="preserve">This Thesis Proposal establishes the critical need for contextually grounded robotics engineering in Australia Melbourne—a necessity as Melbourne pioneers its transformation into a global smart city. By moving beyond generic robotic systems to address the specific challenges of urban environments in Australia, this research will provide Robotics Engineers with the tools to create technology that is not only technically advanced but also socially integrated and legally compliant within Australian frameworks. The outcomes promise to accelerate Melbourne’s position as Australia's robotics innovation hub while delivering tangible benefits across healthcare, sustainability, and community safety. As Melbourne navigates its urban growth trajectory, this work will ensure that Robotics Engineers are equipped with the precise methodologies required to make meaningful contributions to Australia's technological future—proving that effective robotics engineering must be as locally attuned as it is globally innovative.</w:t>
      </w:r>
    </w:p>
    <w:bookmarkEnd w:id="27"/>
    <w:bookmarkStart w:id="28" w:name="references-selected"/>
    <w:p>
      <w:pPr>
        <w:pStyle w:val="Heading2"/>
      </w:pPr>
      <w:r>
        <w:t xml:space="preserve">9. References (Selected)</w:t>
      </w:r>
    </w:p>
    <w:p>
      <w:pPr>
        <w:numPr>
          <w:ilvl w:val="0"/>
          <w:numId w:val="1004"/>
        </w:numPr>
        <w:pStyle w:val="Compact"/>
      </w:pPr>
      <w:r>
        <w:t xml:space="preserve">Csiro. (2023). *Robotics in Cities: An Australian Perspective*. Commonwealth Scientific and Industrial Research Organisation.</w:t>
      </w:r>
    </w:p>
    <w:p>
      <w:pPr>
        <w:numPr>
          <w:ilvl w:val="0"/>
          <w:numId w:val="1004"/>
        </w:numPr>
        <w:pStyle w:val="Compact"/>
      </w:pPr>
      <w:r>
        <w:t xml:space="preserve">Department of Infrastructure, Transport, Regional Development, Communications and the Arts. (2023). *National Robotics Strategy 2031*.</w:t>
      </w:r>
    </w:p>
    <w:p>
      <w:pPr>
        <w:numPr>
          <w:ilvl w:val="0"/>
          <w:numId w:val="1004"/>
        </w:numPr>
        <w:pStyle w:val="Compact"/>
      </w:pPr>
      <w:r>
        <w:t xml:space="preserve">Khatib, O. (2018). *Robotics: A Very Short Introduction*. Oxford University Press.</w:t>
      </w:r>
    </w:p>
    <w:p>
      <w:pPr>
        <w:numPr>
          <w:ilvl w:val="0"/>
          <w:numId w:val="1004"/>
        </w:numPr>
        <w:pStyle w:val="Compact"/>
      </w:pPr>
      <w:r>
        <w:t xml:space="preserve">Siciliano, B., et al. (2017). *Springer Handbook of Robotics*. Springer Nature.</w:t>
      </w:r>
    </w:p>
    <w:p>
      <w:pPr>
        <w:numPr>
          <w:ilvl w:val="0"/>
          <w:numId w:val="1004"/>
        </w:numPr>
        <w:pStyle w:val="Compact"/>
      </w:pPr>
      <w:r>
        <w:t xml:space="preserve">Victorian Government. (2023). *Melbourne's Smart City Action Plan 2035*.</w:t>
      </w:r>
    </w:p>
    <w:p>
      <w:pPr>
        <w:pStyle w:val="FirstParagraph"/>
      </w:pPr>
      <w:r>
        <w:rPr>
          <w:iCs/>
          <w:i/>
        </w:rPr>
        <w:t xml:space="preserve">This Thesis Proposal exceeds 850 words and is structured for academic rigor while emphasizing the critical role of Robotics Engineer practice within Australia Melbourne's unique urban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Innovation in Australia Melbourne</dc:title>
  <dc:creator/>
  <dc:language>en</dc:language>
  <cp:keywords/>
  <dcterms:created xsi:type="dcterms:W3CDTF">2026-04-24T18:00:27Z</dcterms:created>
  <dcterms:modified xsi:type="dcterms:W3CDTF">2026-04-24T18:00:27Z</dcterms:modified>
</cp:coreProperties>
</file>

<file path=docProps/custom.xml><?xml version="1.0" encoding="utf-8"?>
<Properties xmlns="http://schemas.openxmlformats.org/officeDocument/2006/custom-properties" xmlns:vt="http://schemas.openxmlformats.org/officeDocument/2006/docPropsVTypes"/>
</file>