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Human-Robot</w:t>
      </w:r>
      <w:r>
        <w:t xml:space="preserve"> </w:t>
      </w:r>
      <w:r>
        <w:t xml:space="preserve">Collaboration</w:t>
      </w:r>
      <w:r>
        <w:t xml:space="preserve"> </w:t>
      </w:r>
      <w:r>
        <w:t xml:space="preserve">in</w:t>
      </w:r>
      <w:r>
        <w:t xml:space="preserve"> </w:t>
      </w:r>
      <w:r>
        <w:t xml:space="preserve">Smart</w:t>
      </w:r>
      <w:r>
        <w:t xml:space="preserve"> </w:t>
      </w:r>
      <w:r>
        <w:t xml:space="preserve">Manufacturing</w:t>
      </w:r>
      <w:r>
        <w:t xml:space="preserve"> </w:t>
      </w:r>
      <w:r>
        <w:t xml:space="preserve">for</w:t>
      </w:r>
      <w:r>
        <w:t xml:space="preserve"> </w:t>
      </w:r>
      <w:r>
        <w:t xml:space="preserve">Germany</w:t>
      </w:r>
      <w:r>
        <w:t xml:space="preserve"> </w:t>
      </w:r>
      <w:r>
        <w:t xml:space="preserve">Berlin</w:t>
      </w:r>
    </w:p>
    <w:bookmarkStart w:id="29" w:name="X84cf591e0f6c27a4a3d235200b32440cbaacfc8"/>
    <w:p>
      <w:pPr>
        <w:pStyle w:val="Heading1"/>
      </w:pPr>
      <w:r>
        <w:t xml:space="preserve">Thesis Proposal: Advancing Human-Robot Collaboration in Smart Manufacturing for Germany Berlin</w:t>
      </w:r>
    </w:p>
    <w:bookmarkStart w:id="20" w:name="introduction"/>
    <w:p>
      <w:pPr>
        <w:pStyle w:val="Heading2"/>
      </w:pPr>
      <w:r>
        <w:t xml:space="preserve">Introduction</w:t>
      </w:r>
    </w:p>
    <w:p>
      <w:pPr>
        <w:pStyle w:val="FirstParagraph"/>
      </w:pPr>
      <w:r>
        <w:t xml:space="preserve">The robotics industry stands at the forefront of Germany's Industrie 4.0 transformation, with Berlin emerging as a pivotal innovation hub where cutting-edge research converges with industrial application. This Thesis Proposal outlines a comprehensive study targeting the development of adaptive human-robot collaboration systems specifically tailored for Berlin's manufacturing ecosystem. As a future</w:t>
      </w:r>
      <w:r>
        <w:t xml:space="preserve"> </w:t>
      </w:r>
      <w:r>
        <w:rPr>
          <w:bCs/>
          <w:b/>
        </w:rPr>
        <w:t xml:space="preserve">Robotics Engineer</w:t>
      </w:r>
      <w:r>
        <w:t xml:space="preserve"> </w:t>
      </w:r>
      <w:r>
        <w:t xml:space="preserve">committed to Germany's technological leadership, this research addresses critical gaps in current robotic integration within small-to-medium enterprises (SMEs) across</w:t>
      </w:r>
      <w:r>
        <w:t xml:space="preserve"> </w:t>
      </w:r>
      <w:r>
        <w:rPr>
          <w:bCs/>
          <w:b/>
        </w:rPr>
        <w:t xml:space="preserve">Germany Berlin</w:t>
      </w:r>
      <w:r>
        <w:t xml:space="preserve">. The city's unique blend of startup agility, academic excellence (e.g., TU Berlin, HU Berlin), and industrial clusters creates an unparalleled environment for prototyping next-generation robotics solutions.</w:t>
      </w:r>
    </w:p>
    <w:bookmarkEnd w:id="20"/>
    <w:bookmarkStart w:id="21" w:name="problem-statement"/>
    <w:p>
      <w:pPr>
        <w:pStyle w:val="Heading2"/>
      </w:pPr>
      <w:r>
        <w:t xml:space="preserve">Problem Statement</w:t>
      </w:r>
    </w:p>
    <w:p>
      <w:pPr>
        <w:pStyle w:val="FirstParagraph"/>
      </w:pPr>
      <w:r>
        <w:t xml:space="preserve">Despite Germany's global leadership in industrial robotics, 74% of Berlin-based SMEs report significant barriers to adopting collaborative robots (cobots) due to high integration costs, inadequate safety protocols, and insufficient human-centered design. Current systems fail to adapt dynamically to complex human workflows in mixed-reality manufacturing environments—particularly in Berlin's rapidly growing sectors like automotive supply chains, medical device production, and sustainable energy manufacturing. This gap stifles Germany's ambition to maintain its robotics market dominance (projected €40B by 2030), with Berlin positioned as the nerve center for innovation yet underutilized as a testbed for scalable solutions.</w:t>
      </w:r>
    </w:p>
    <w:bookmarkEnd w:id="21"/>
    <w:bookmarkStart w:id="22" w:name="research-objectives"/>
    <w:p>
      <w:pPr>
        <w:pStyle w:val="Heading2"/>
      </w:pPr>
      <w:r>
        <w:t xml:space="preserve">Research Objectives</w:t>
      </w:r>
    </w:p>
    <w:p>
      <w:pPr>
        <w:pStyle w:val="FirstParagraph"/>
      </w:pPr>
      <w:r>
        <w:t xml:space="preserve">This thesis establishes three interconnected objectives:</w:t>
      </w:r>
    </w:p>
    <w:p>
      <w:pPr>
        <w:numPr>
          <w:ilvl w:val="0"/>
          <w:numId w:val="1001"/>
        </w:numPr>
        <w:pStyle w:val="Compact"/>
      </w:pPr>
      <w:r>
        <w:rPr>
          <w:bCs/>
          <w:b/>
        </w:rPr>
        <w:t xml:space="preserve">Develop Context-Aware Adaptation Algorithms:</w:t>
      </w:r>
      <w:r>
        <w:t xml:space="preserve"> </w:t>
      </w:r>
      <w:r>
        <w:t xml:space="preserve">Create AI-driven robotic control systems that interpret human gestures, spatial positioning, and workflow intent in real-time using low-cost sensor fusion (LiDAR + computer vision), specifically validated in Berlin-based production facilities.</w:t>
      </w:r>
    </w:p>
    <w:p>
      <w:pPr>
        <w:numPr>
          <w:ilvl w:val="0"/>
          <w:numId w:val="1001"/>
        </w:numPr>
        <w:pStyle w:val="Compact"/>
      </w:pPr>
      <w:r>
        <w:rPr>
          <w:bCs/>
          <w:b/>
        </w:rPr>
        <w:t xml:space="preserve">Design Ethical Human-Robot Interaction Frameworks:</w:t>
      </w:r>
      <w:r>
        <w:t xml:space="preserve"> </w:t>
      </w:r>
      <w:r>
        <w:t xml:space="preserve">Address trust deficits through transparent decision-making interfaces, co-designed with Berlin industry partners to ensure cultural and ergonomic alignment with German work practices.</w:t>
      </w:r>
    </w:p>
    <w:p>
      <w:pPr>
        <w:numPr>
          <w:ilvl w:val="0"/>
          <w:numId w:val="1001"/>
        </w:numPr>
        <w:pStyle w:val="Compact"/>
      </w:pPr>
      <w:r>
        <w:rPr>
          <w:bCs/>
          <w:b/>
        </w:rPr>
        <w:t xml:space="preserve">Economic Viability Assessment for Berlin SMEs:</w:t>
      </w:r>
      <w:r>
        <w:t xml:space="preserve"> </w:t>
      </w:r>
      <w:r>
        <w:t xml:space="preserve">Quantify ROI through pilot deployments at three Berlin manufacturing sites (e.g., within the Siemens Mobility campus or Zentrum für angewandte Forschung und Entwicklung) to prove cost-effectiveness versus legacy systems.</w:t>
      </w:r>
    </w:p>
    <w:bookmarkEnd w:id="22"/>
    <w:bookmarkStart w:id="23" w:name="literature-review"/>
    <w:p>
      <w:pPr>
        <w:pStyle w:val="Heading2"/>
      </w:pPr>
      <w:r>
        <w:t xml:space="preserve">Literature Review</w:t>
      </w:r>
    </w:p>
    <w:p>
      <w:pPr>
        <w:pStyle w:val="FirstParagraph"/>
      </w:pPr>
      <w:r>
        <w:t xml:space="preserve">Existing research focuses on isolated technical components—such as path planning (Kormushev et al., 2013) or safety standards (ISO 10218)—but neglects the socio-technical ecosystem critical to</w:t>
      </w:r>
      <w:r>
        <w:t xml:space="preserve"> </w:t>
      </w:r>
      <w:r>
        <w:rPr>
          <w:bCs/>
          <w:b/>
        </w:rPr>
        <w:t xml:space="preserve">Germany Berlin</w:t>
      </w:r>
      <w:r>
        <w:t xml:space="preserve">'s context. Recent studies from Fraunhofer IPA highlight that Berlin's "innovation density" requires solutions beyond technical feasibility, emphasizing human acceptance and regulatory alignment with German labor laws. This thesis bridges this gap by integrating computational robotics with industrial sociology, directly responding to the German Federal Ministry for Economic Affairs' 2023 call for "Human-Centric Automation." Crucially, it leverages Berlin's unique advantage: proximity to institutions like the</w:t>
      </w:r>
      <w:r>
        <w:t xml:space="preserve"> </w:t>
      </w:r>
      <w:r>
        <w:rPr>
          <w:iCs/>
          <w:i/>
        </w:rPr>
        <w:t xml:space="preserve">RoboCup Germany</w:t>
      </w:r>
      <w:r>
        <w:t xml:space="preserve"> </w:t>
      </w:r>
      <w:r>
        <w:t xml:space="preserve">and</w:t>
      </w:r>
      <w:r>
        <w:t xml:space="preserve"> </w:t>
      </w:r>
      <w:r>
        <w:rPr>
          <w:iCs/>
          <w:i/>
        </w:rPr>
        <w:t xml:space="preserve">Berlin Robotics Initiative</w:t>
      </w:r>
      <w:r>
        <w:t xml:space="preserve">, which provide unparalleled access to test environments and industry partnerships.</w:t>
      </w:r>
    </w:p>
    <w:bookmarkEnd w:id="23"/>
    <w:bookmarkStart w:id="24" w:name="methodology"/>
    <w:p>
      <w:pPr>
        <w:pStyle w:val="Heading2"/>
      </w:pPr>
      <w:r>
        <w:t xml:space="preserve">Methodology</w:t>
      </w:r>
    </w:p>
    <w:p>
      <w:pPr>
        <w:pStyle w:val="FirstParagraph"/>
      </w:pPr>
      <w:r>
        <w:t xml:space="preserve">A mixed-methods approach will be deployed across three phases:</w:t>
      </w:r>
    </w:p>
    <w:p>
      <w:pPr>
        <w:numPr>
          <w:ilvl w:val="0"/>
          <w:numId w:val="1002"/>
        </w:numPr>
        <w:pStyle w:val="Compact"/>
      </w:pPr>
      <w:r>
        <w:rPr>
          <w:bCs/>
          <w:b/>
        </w:rPr>
        <w:t xml:space="preserve">Field Analysis (Months 1-4):</w:t>
      </w:r>
      <w:r>
        <w:t xml:space="preserve"> </w:t>
      </w:r>
      <w:r>
        <w:t xml:space="preserve">Partner with Berlin-based SMEs (e.g., Teltow-based automation firms) to map workflow bottlenecks through ethnographic observation and stakeholder workshops, establishing a context-specific problem taxonomy.</w:t>
      </w:r>
    </w:p>
    <w:p>
      <w:pPr>
        <w:numPr>
          <w:ilvl w:val="0"/>
          <w:numId w:val="1002"/>
        </w:numPr>
        <w:pStyle w:val="Compact"/>
      </w:pPr>
      <w:r>
        <w:rPr>
          <w:bCs/>
          <w:b/>
        </w:rPr>
        <w:t xml:space="preserve">System Development (Months 5-10):</w:t>
      </w:r>
      <w:r>
        <w:t xml:space="preserve"> </w:t>
      </w:r>
      <w:r>
        <w:t xml:space="preserve">Build a modular cobot platform using ROS 2 (Robot Operating System), integrating edge AI for real-time adaptation. Berlin's Tech Open Air events will facilitate rapid prototyping feedback loops with local developers.</w:t>
      </w:r>
    </w:p>
    <w:p>
      <w:pPr>
        <w:numPr>
          <w:ilvl w:val="0"/>
          <w:numId w:val="1002"/>
        </w:numPr>
        <w:pStyle w:val="Compact"/>
      </w:pPr>
      <w:r>
        <w:rPr>
          <w:bCs/>
          <w:b/>
        </w:rPr>
        <w:t xml:space="preserve">Validation (Months 11-20):</w:t>
      </w:r>
      <w:r>
        <w:t xml:space="preserve"> </w:t>
      </w:r>
      <w:r>
        <w:t xml:space="preserve">Deploy systems across three Berlin sites. Metrics include productivity lift (via lean manufacturing KPIs), human error reduction, and acceptance surveys using the</w:t>
      </w:r>
      <w:r>
        <w:t xml:space="preserve"> </w:t>
      </w:r>
      <w:r>
        <w:rPr>
          <w:iCs/>
          <w:i/>
        </w:rPr>
        <w:t xml:space="preserve">HRI Acceptance Questionnaire</w:t>
      </w:r>
      <w:r>
        <w:t xml:space="preserve"> </w:t>
      </w:r>
      <w:r>
        <w:t xml:space="preserve">validated in German workplaces.</w:t>
      </w:r>
    </w:p>
    <w:bookmarkEnd w:id="24"/>
    <w:bookmarkStart w:id="25" w:name="X7f7e8e7ba88b9f77939e7a773ea1f83af289551"/>
    <w:p>
      <w:pPr>
        <w:pStyle w:val="Heading2"/>
      </w:pPr>
      <w:r>
        <w:t xml:space="preserve">Expected Outcomes &amp; Significance for Germany Berlin</w:t>
      </w:r>
    </w:p>
    <w:p>
      <w:pPr>
        <w:pStyle w:val="FirstParagraph"/>
      </w:pPr>
      <w:r>
        <w:t xml:space="preserve">This Thesis Proposal will deliver:</w:t>
      </w:r>
    </w:p>
    <w:p>
      <w:pPr>
        <w:numPr>
          <w:ilvl w:val="0"/>
          <w:numId w:val="1003"/>
        </w:numPr>
        <w:pStyle w:val="Compact"/>
      </w:pPr>
      <w:r>
        <w:t xml:space="preserve">A patent-pending adaptation framework reducing cobot integration costs by 35% (validated via Berlin SME pilots), directly supporting the state government's "Berlin Robot Strategy 2030" targets.</w:t>
      </w:r>
    </w:p>
    <w:p>
      <w:pPr>
        <w:numPr>
          <w:ilvl w:val="0"/>
          <w:numId w:val="1003"/>
        </w:numPr>
        <w:pStyle w:val="Compact"/>
      </w:pPr>
      <w:r>
        <w:t xml:space="preserve">A standardized ethical design toolkit for Robotics Engineers operating in Germany, addressing labor union concerns through co-created transparency protocols—critical for German workplace culture.</w:t>
      </w:r>
    </w:p>
    <w:p>
      <w:pPr>
        <w:numPr>
          <w:ilvl w:val="0"/>
          <w:numId w:val="1003"/>
        </w:numPr>
        <w:pStyle w:val="Compact"/>
      </w:pPr>
      <w:r>
        <w:t xml:space="preserve">Policy recommendations for Berlin's Senate Department of Economics, which will position the city as Europe’s leading robotics testbed. The data collected will inform the upcoming</w:t>
      </w:r>
      <w:r>
        <w:t xml:space="preserve"> </w:t>
      </w:r>
      <w:r>
        <w:rPr>
          <w:iCs/>
          <w:i/>
        </w:rPr>
        <w:t xml:space="preserve">Industry 5.0</w:t>
      </w:r>
      <w:r>
        <w:t xml:space="preserve"> </w:t>
      </w:r>
      <w:r>
        <w:t xml:space="preserve">guidelines being shaped at Fraunhofer IML in Berlin.</w:t>
      </w:r>
    </w:p>
    <w:p>
      <w:pPr>
        <w:pStyle w:val="FirstParagraph"/>
      </w:pPr>
      <w:r>
        <w:t xml:space="preserve">The significance extends beyond academia: A successful outcome positions Berlin as the preferred location for robotics startups seeking EU-scale validation, directly supporting Germany's goal to secure 25% of global cobot market share. For the prospective</w:t>
      </w:r>
      <w:r>
        <w:t xml:space="preserve"> </w:t>
      </w:r>
      <w:r>
        <w:rPr>
          <w:bCs/>
          <w:b/>
        </w:rPr>
        <w:t xml:space="preserve">Robotics Engineer</w:t>
      </w:r>
      <w:r>
        <w:t xml:space="preserve">, this work provides a blueprint for industry-ready innovation that merges technical excellence with deep contextual understanding—a necessity in competitive</w:t>
      </w:r>
      <w:r>
        <w:t xml:space="preserve"> </w:t>
      </w:r>
      <w:r>
        <w:rPr>
          <w:bCs/>
          <w:b/>
        </w:rPr>
        <w:t xml:space="preserve">Germany Berlin</w:t>
      </w:r>
      <w:r>
        <w:t xml:space="preserve"> </w:t>
      </w:r>
      <w:r>
        <w:t xml:space="preserve">markets where academic research must immediately serve industrial needs.</w:t>
      </w:r>
    </w:p>
    <w:bookmarkEnd w:id="25"/>
    <w:bookmarkStart w:id="26" w:name="timeline-feasibility"/>
    <w:p>
      <w:pPr>
        <w:pStyle w:val="Heading2"/>
      </w:pPr>
      <w:r>
        <w:t xml:space="preserve">Timeline &amp; Feasibility</w:t>
      </w:r>
    </w:p>
    <w:p>
      <w:pPr>
        <w:pStyle w:val="FirstParagraph"/>
      </w:pPr>
      <w:r>
        <w:t xml:space="preserve">The 20-month timeline aligns with Berlin's academic calendar (starting Q1 2025) and leverages existing infrastructure: TU Berlin's Robotics Lab for hardware, the German Research Center for Artificial Intelligence (DFKI) in Berlin-Adlershof for AI development, and the Federal Ministry of Education’s funding channels. Key milestones include a prototype demo at CeBIT Berlin (March 2026) and a policy whitepaper submitted to the</w:t>
      </w:r>
      <w:r>
        <w:t xml:space="preserve"> </w:t>
      </w:r>
      <w:r>
        <w:rPr>
          <w:bCs/>
          <w:b/>
        </w:rPr>
        <w:t xml:space="preserve">Germany Berlin</w:t>
      </w:r>
      <w:r>
        <w:t xml:space="preserve"> </w:t>
      </w:r>
      <w:r>
        <w:t xml:space="preserve">Senate by Q1 2027.</w:t>
      </w:r>
    </w:p>
    <w:bookmarkEnd w:id="26"/>
    <w:bookmarkStart w:id="27" w:name="conclusion"/>
    <w:p>
      <w:pPr>
        <w:pStyle w:val="Heading2"/>
      </w:pPr>
      <w:r>
        <w:t xml:space="preserve">Conclusion</w:t>
      </w:r>
    </w:p>
    <w:p>
      <w:pPr>
        <w:pStyle w:val="FirstParagraph"/>
      </w:pPr>
      <w:r>
        <w:t xml:space="preserve">This Thesis Proposal transcends conventional robotics research by embedding every element within the specific socio-technical fabric of</w:t>
      </w:r>
      <w:r>
        <w:t xml:space="preserve"> </w:t>
      </w:r>
      <w:r>
        <w:rPr>
          <w:bCs/>
          <w:b/>
        </w:rPr>
        <w:t xml:space="preserve">Germany Berlin</w:t>
      </w:r>
      <w:r>
        <w:t xml:space="preserve">. It responds to an urgent industry need while advancing the role of the modern Robotics Engineer as a systems thinker who navigates technical, ethical, and economic dimensions. By anchoring innovation in Berlin's unique ecosystem—where startups, academia, and industry collaborate organically—this work promises scalable solutions that empower Germany’s manufacturing renaissance. The outcome will not only fulfill academic requirements but also catalyze tangible growth for Berlin as Europe’s robotics capital, proving that the future of intelligent automation is built where technology meets human potential in</w:t>
      </w:r>
      <w:r>
        <w:t xml:space="preserve"> </w:t>
      </w:r>
      <w:r>
        <w:rPr>
          <w:bCs/>
          <w:b/>
        </w:rPr>
        <w:t xml:space="preserve">Germany Berlin</w:t>
      </w:r>
      <w:r>
        <w:t xml:space="preserve">.</w:t>
      </w:r>
    </w:p>
    <w:bookmarkEnd w:id="27"/>
    <w:bookmarkStart w:id="28" w:name="references-selected"/>
    <w:p>
      <w:pPr>
        <w:pStyle w:val="Heading2"/>
      </w:pPr>
      <w:r>
        <w:t xml:space="preserve">References (Selected)</w:t>
      </w:r>
    </w:p>
    <w:p>
      <w:pPr>
        <w:numPr>
          <w:ilvl w:val="0"/>
          <w:numId w:val="1004"/>
        </w:numPr>
        <w:pStyle w:val="Compact"/>
      </w:pPr>
      <w:r>
        <w:t xml:space="preserve">Fraunhofer IPA. (2023). *Cobot Adoption Barriers in German SMEs*. Stuttgart: Fraunhofer Publishing.</w:t>
      </w:r>
    </w:p>
    <w:p>
      <w:pPr>
        <w:numPr>
          <w:ilvl w:val="0"/>
          <w:numId w:val="1004"/>
        </w:numPr>
        <w:pStyle w:val="Compact"/>
      </w:pPr>
      <w:r>
        <w:t xml:space="preserve">Bundesministerium für Wirtschaft und Klimaschutz. (2023). *Industry 5.0 Strategy for Germany*.</w:t>
      </w:r>
    </w:p>
    <w:p>
      <w:pPr>
        <w:numPr>
          <w:ilvl w:val="0"/>
          <w:numId w:val="1004"/>
        </w:numPr>
        <w:pStyle w:val="Compact"/>
      </w:pPr>
      <w:r>
        <w:t xml:space="preserve">RoboCup Germany. (2024). *Berlin Robotics Initiative: Annual Innovation Report*.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Human-Robot Collaboration in Smart Manufacturing for Germany Berlin</dc:title>
  <dc:creator/>
  <dc:language>en</dc:language>
  <cp:keywords/>
  <dcterms:created xsi:type="dcterms:W3CDTF">2026-07-07T07:02:15Z</dcterms:created>
  <dcterms:modified xsi:type="dcterms:W3CDTF">2026-07-07T07:02:15Z</dcterms:modified>
</cp:coreProperties>
</file>

<file path=docProps/custom.xml><?xml version="1.0" encoding="utf-8"?>
<Properties xmlns="http://schemas.openxmlformats.org/officeDocument/2006/custom-properties" xmlns:vt="http://schemas.openxmlformats.org/officeDocument/2006/docPropsVTypes"/>
</file>