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Tokyo</w:t>
      </w:r>
    </w:p>
    <w:bookmarkStart w:id="31" w:name="Xbea2227fc1e07f488ad083513acdbfc406b922e"/>
    <w:p>
      <w:pPr>
        <w:pStyle w:val="Heading1"/>
      </w:pPr>
      <w:r>
        <w:t xml:space="preserve">Thesis Proposal: Designing Adaptive Robotics Systems for Japan's Tokyo Metropolitan Environment</w:t>
      </w:r>
    </w:p>
    <w:bookmarkStart w:id="20" w:name="introduction-and-research-context"/>
    <w:p>
      <w:pPr>
        <w:pStyle w:val="Heading2"/>
      </w:pPr>
      <w:r>
        <w:t xml:space="preserve">Introduction and Research Context</w:t>
      </w:r>
    </w:p>
    <w:p>
      <w:pPr>
        <w:pStyle w:val="FirstParagraph"/>
      </w:pPr>
      <w:r>
        <w:t xml:space="preserve">The rapid urbanization of Tokyo, Japan's capital city housing over 37 million residents in its metropolitan area, presents unprecedented challenges in infrastructure management, aging population support, and sustainable resource allocation. As a global hub for technological innovation, Tokyo has positioned itself as a leader in robotics adoption with its "Robot Revolution Initiative" targeting 2030. However, current robotic systems often fail to address the unique complexities of Tokyo's dense urban fabric—characterized by narrow streets, high population density (over 14,000 people per square kilometer), cultural nuances in human-robot interaction, and stringent safety regulations. This thesis proposes a comprehensive framework for</w:t>
      </w:r>
      <w:r>
        <w:t xml:space="preserve"> </w:t>
      </w:r>
      <w:r>
        <w:rPr>
          <w:bCs/>
          <w:b/>
        </w:rPr>
        <w:t xml:space="preserve">Robotics Engineer</w:t>
      </w:r>
      <w:r>
        <w:t xml:space="preserve"> </w:t>
      </w:r>
      <w:r>
        <w:t xml:space="preserve">innovation specifically tailored to Tokyo's operational ecosystem. The central problem addressed is the disconnect between globally developed robotic technologies and the hyper-localized demands of Japan's most complex metropolis, resulting in inefficient deployments that fail to deliver societal impact.</w:t>
      </w:r>
    </w:p>
    <w:bookmarkEnd w:id="20"/>
    <w:bookmarkStart w:id="21" w:name="Xfbac733d82a703c3b1aea197a845075c6f7b563"/>
    <w:p>
      <w:pPr>
        <w:pStyle w:val="Heading2"/>
      </w:pPr>
      <w:r>
        <w:t xml:space="preserve">Literature Review: Gaps in Current Robotics Implementation</w:t>
      </w:r>
    </w:p>
    <w:p>
      <w:pPr>
        <w:pStyle w:val="FirstParagraph"/>
      </w:pPr>
      <w:r>
        <w:t xml:space="preserve">Existing research predominantly focuses on industrial robotics (e.g., automotive assembly lines) or isolated service robots (like hotel concierge bots), neglecting the integrated urban infrastructure needs of a city like Tokyo. Studies by the Japan Robot Association (2023) confirm that 78% of deployed service robots in Japanese cities operate in controlled environments, while only 12% address dynamic public spaces. Crucially, no academic work has holistically examined how Tokyo's unique</w:t>
      </w:r>
      <w:r>
        <w:t xml:space="preserve"> </w:t>
      </w:r>
      <w:r>
        <w:rPr>
          <w:bCs/>
          <w:b/>
        </w:rPr>
        <w:t xml:space="preserve">Japan Tokyo</w:t>
      </w:r>
      <w:r>
        <w:t xml:space="preserve"> </w:t>
      </w:r>
      <w:r>
        <w:t xml:space="preserve">contextual factors—such as the cultural significance of "omotenashi" (hospitality), earthquake resilience requirements, or multi-lingual communication needs—must reshape robot design principles. Furthermore, regulatory frameworks like Japan's 2022 Robotics Safety Guidelines prioritize hardware specifications over adaptive software capabilities required for unpredictable urban settings.</w:t>
      </w:r>
    </w:p>
    <w:bookmarkEnd w:id="21"/>
    <w:bookmarkStart w:id="22" w:name="research-objectives-and-questions"/>
    <w:p>
      <w:pPr>
        <w:pStyle w:val="Heading2"/>
      </w:pPr>
      <w:r>
        <w:t xml:space="preserve">Research Objectives and Questions</w:t>
      </w:r>
    </w:p>
    <w:p>
      <w:pPr>
        <w:pStyle w:val="FirstParagraph"/>
      </w:pPr>
      <w:r>
        <w:t xml:space="preserve">This thesis establishes three core objectives to bridge the Tokyo-specific robotics gap:</w:t>
      </w:r>
    </w:p>
    <w:p>
      <w:pPr>
        <w:numPr>
          <w:ilvl w:val="0"/>
          <w:numId w:val="1001"/>
        </w:numPr>
        <w:pStyle w:val="Compact"/>
      </w:pPr>
      <w:r>
        <w:t xml:space="preserve">To develop a context-aware robotic architecture integrating Tokyo's urban topography, demographic patterns (e.g., 30% of population over 65), and cultural norms.</w:t>
      </w:r>
    </w:p>
    <w:p>
      <w:pPr>
        <w:numPr>
          <w:ilvl w:val="0"/>
          <w:numId w:val="1001"/>
        </w:numPr>
        <w:pStyle w:val="Compact"/>
      </w:pPr>
      <w:r>
        <w:t xml:space="preserve">To design fail-safe navigation systems capable of operating in Tokyo's high-traffic pedestrian zones with real-time adaptation to unexpected obstacles (e.g., festival crowds, emergency vehicles).</w:t>
      </w:r>
    </w:p>
    <w:p>
      <w:pPr>
        <w:numPr>
          <w:ilvl w:val="0"/>
          <w:numId w:val="1001"/>
        </w:numPr>
        <w:pStyle w:val="Compact"/>
      </w:pPr>
      <w:r>
        <w:t xml:space="preserve">To create a human-robot interaction (HRI) protocol respecting Japanese communication etiquette while enabling effective service delivery in public spaces.</w:t>
      </w:r>
    </w:p>
    <w:p>
      <w:pPr>
        <w:pStyle w:val="FirstParagraph"/>
      </w:pPr>
      <w:r>
        <w:t xml:space="preserve">The primary research questions guiding this work are: How can a</w:t>
      </w:r>
      <w:r>
        <w:t xml:space="preserve"> </w:t>
      </w:r>
      <w:r>
        <w:rPr>
          <w:bCs/>
          <w:b/>
        </w:rPr>
        <w:t xml:space="preserve">Robotics Engineer</w:t>
      </w:r>
      <w:r>
        <w:t xml:space="preserve"> </w:t>
      </w:r>
      <w:r>
        <w:t xml:space="preserve">design systems that dynamically interpret Tokyo's spatial, social, and regulatory environment? What technical and ethical frameworks ensure robots operate safely within Japan's urban ecosystem without disrupting local customs?</w:t>
      </w:r>
    </w:p>
    <w:bookmarkEnd w:id="22"/>
    <w:bookmarkStart w:id="26" w:name="methodology"/>
    <w:p>
      <w:pPr>
        <w:pStyle w:val="Heading2"/>
      </w:pPr>
      <w:r>
        <w:t xml:space="preserve">Methodology</w:t>
      </w:r>
    </w:p>
    <w:p>
      <w:pPr>
        <w:pStyle w:val="FirstParagraph"/>
      </w:pPr>
      <w:r>
        <w:t xml:space="preserve">This interdisciplinary project employs a three-phase methodology grounded in fieldwork within Tokyo:</w:t>
      </w:r>
    </w:p>
    <w:bookmarkStart w:id="23" w:name="phase-1-contextual-analysis-months-1-4"/>
    <w:p>
      <w:pPr>
        <w:pStyle w:val="Heading3"/>
      </w:pPr>
      <w:r>
        <w:t xml:space="preserve">Phase 1: Contextual Analysis (Months 1-4)</w:t>
      </w:r>
    </w:p>
    <w:p>
      <w:pPr>
        <w:numPr>
          <w:ilvl w:val="0"/>
          <w:numId w:val="1002"/>
        </w:numPr>
        <w:pStyle w:val="Compact"/>
      </w:pPr>
      <w:r>
        <w:t xml:space="preserve">Collaborate with Tokyo Metropolitan Government's Urban Planning Bureau to map high-priority zones (e.g., Shibuya Crossing, elderly care districts in Adachi Ward).</w:t>
      </w:r>
    </w:p>
    <w:p>
      <w:pPr>
        <w:numPr>
          <w:ilvl w:val="0"/>
          <w:numId w:val="1002"/>
        </w:numPr>
        <w:pStyle w:val="Compact"/>
      </w:pPr>
      <w:r>
        <w:t xml:space="preserve">Analyze cultural datasets from Japan’s Agency for Cultural Affairs on public interaction norms.</w:t>
      </w:r>
    </w:p>
    <w:p>
      <w:pPr>
        <w:numPr>
          <w:ilvl w:val="0"/>
          <w:numId w:val="1002"/>
        </w:numPr>
        <w:pStyle w:val="Compact"/>
      </w:pPr>
      <w:r>
        <w:t xml:space="preserve">Conduct 50+ interviews with Tokyo-based</w:t>
      </w:r>
      <w:r>
        <w:t xml:space="preserve"> </w:t>
      </w:r>
      <w:r>
        <w:rPr>
          <w:bCs/>
          <w:b/>
        </w:rPr>
        <w:t xml:space="preserve">Robotics Engineer</w:t>
      </w:r>
      <w:r>
        <w:t xml:space="preserve">s at firms like SoftBank Robotics and Toyota Research Institute to identify deployment pain points.</w:t>
      </w:r>
    </w:p>
    <w:bookmarkEnd w:id="23"/>
    <w:bookmarkStart w:id="24" w:name="phase-2-system-development-months-5-10"/>
    <w:p>
      <w:pPr>
        <w:pStyle w:val="Heading3"/>
      </w:pPr>
      <w:r>
        <w:t xml:space="preserve">Phase 2: System Development (Months 5-10)</w:t>
      </w:r>
    </w:p>
    <w:p>
      <w:pPr>
        <w:numPr>
          <w:ilvl w:val="0"/>
          <w:numId w:val="1003"/>
        </w:numPr>
        <w:pStyle w:val="Compact"/>
      </w:pPr>
      <w:r>
        <w:t xml:space="preserve">Develop a modular robotic platform using ROS 2 (Robot Operating System) with Tokyo-specific libraries for:</w:t>
      </w:r>
    </w:p>
    <w:p>
      <w:pPr>
        <w:numPr>
          <w:ilvl w:val="1"/>
          <w:numId w:val="1004"/>
        </w:numPr>
        <w:pStyle w:val="Compact"/>
      </w:pPr>
      <w:r>
        <w:t xml:space="preserve">Real-time crowd flow simulation</w:t>
      </w:r>
    </w:p>
    <w:p>
      <w:pPr>
        <w:numPr>
          <w:ilvl w:val="1"/>
          <w:numId w:val="1004"/>
        </w:numPr>
        <w:pStyle w:val="Compact"/>
      </w:pPr>
      <w:r>
        <w:t xml:space="preserve">Cultural gesture recognition (e.g., bowing depth, speech intonation)</w:t>
      </w:r>
    </w:p>
    <w:p>
      <w:pPr>
        <w:numPr>
          <w:ilvl w:val="1"/>
          <w:numId w:val="1004"/>
        </w:numPr>
        <w:pStyle w:val="Compact"/>
      </w:pPr>
      <w:r>
        <w:t xml:space="preserve">Earthquake-responsive movement protocols</w:t>
      </w:r>
    </w:p>
    <w:p>
      <w:pPr>
        <w:numPr>
          <w:ilvl w:val="0"/>
          <w:numId w:val="1003"/>
        </w:numPr>
        <w:pStyle w:val="Compact"/>
      </w:pPr>
      <w:r>
        <w:t xml:space="preserve">Create an open-source Tokyo Urban Robotics API to standardize data sharing with local stakeholders.</w:t>
      </w:r>
    </w:p>
    <w:bookmarkEnd w:id="24"/>
    <w:bookmarkStart w:id="25" w:name="phase-3-field-validation-months-11-18"/>
    <w:p>
      <w:pPr>
        <w:pStyle w:val="Heading3"/>
      </w:pPr>
      <w:r>
        <w:t xml:space="preserve">Phase 3: Field Validation (Months 11-18)</w:t>
      </w:r>
    </w:p>
    <w:p>
      <w:pPr>
        <w:numPr>
          <w:ilvl w:val="0"/>
          <w:numId w:val="1005"/>
        </w:numPr>
        <w:pStyle w:val="Compact"/>
      </w:pPr>
      <w:r>
        <w:t xml:space="preserve">Deploy pilot units in controlled Tokyo environments (e.g., Tsukiji Fish Market logistics, senior centers in Shinjuku).</w:t>
      </w:r>
    </w:p>
    <w:p>
      <w:pPr>
        <w:numPr>
          <w:ilvl w:val="0"/>
          <w:numId w:val="1005"/>
        </w:numPr>
        <w:pStyle w:val="Compact"/>
      </w:pPr>
      <w:r>
        <w:t xml:space="preserve">Measure performance against key metrics: task completion rate, public acceptance (surveys with 500+ Tokyo residents), and compliance with Japan's Safety Standards for Service Robots.</w:t>
      </w:r>
    </w:p>
    <w:p>
      <w:pPr>
        <w:numPr>
          <w:ilvl w:val="0"/>
          <w:numId w:val="1005"/>
        </w:numPr>
        <w:pStyle w:val="Compact"/>
      </w:pPr>
      <w:r>
        <w:t xml:space="preserve">Iterate design using feedback loops with Tokyo-based industry partners.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four transformative contributions to robotics engineering:</w:t>
      </w:r>
    </w:p>
    <w:p>
      <w:pPr>
        <w:numPr>
          <w:ilvl w:val="0"/>
          <w:numId w:val="1006"/>
        </w:numPr>
        <w:pStyle w:val="Compact"/>
      </w:pPr>
      <w:r>
        <w:rPr>
          <w:bCs/>
          <w:b/>
        </w:rPr>
        <w:t xml:space="preserve">A Tokyo-Centric Robotics Framework</w:t>
      </w:r>
      <w:r>
        <w:t xml:space="preserve">: The first open-source architecture explicitly designed for Japan's metropolitan challenges, including modules for cultural adaptation (e.g., robot "bow" protocols) and seismic safety.</w:t>
      </w:r>
    </w:p>
    <w:p>
      <w:pPr>
        <w:numPr>
          <w:ilvl w:val="0"/>
          <w:numId w:val="1006"/>
        </w:numPr>
        <w:pStyle w:val="Compact"/>
      </w:pPr>
      <w:r>
        <w:rPr>
          <w:bCs/>
          <w:b/>
        </w:rPr>
        <w:t xml:space="preserve">Economic Impact Model</w:t>
      </w:r>
      <w:r>
        <w:t xml:space="preserve">: Quantification of cost-benefit ratios for Tokyo-specific deployments (e.g., 25% reduction in elderly care staffing costs through adaptive mobility assistance robots).</w:t>
      </w:r>
    </w:p>
    <w:p>
      <w:pPr>
        <w:numPr>
          <w:ilvl w:val="0"/>
          <w:numId w:val="1006"/>
        </w:numPr>
        <w:pStyle w:val="Compact"/>
      </w:pPr>
      <w:r>
        <w:rPr>
          <w:bCs/>
          <w:b/>
        </w:rPr>
        <w:t xml:space="preserve">Regulatory Roadmap</w:t>
      </w:r>
      <w:r>
        <w:t xml:space="preserve">: Proposed amendments to Japan’s robotics safety guidelines addressing urban unpredictability, co-created with the Ministry of Economy, Trade and Industry (METI).</w:t>
      </w:r>
    </w:p>
    <w:p>
      <w:pPr>
        <w:numPr>
          <w:ilvl w:val="0"/>
          <w:numId w:val="1006"/>
        </w:numPr>
        <w:pStyle w:val="Compact"/>
      </w:pPr>
      <w:r>
        <w:rPr>
          <w:bCs/>
          <w:b/>
        </w:rPr>
        <w:t xml:space="preserve">Ethical Guidelines for Japanese Urban Robotics</w:t>
      </w:r>
      <w:r>
        <w:t xml:space="preserve">: Framework resolving tensions between efficiency goals and privacy norms (e.g., camera usage in public spaces), informed by Tokyo's unique social contract.</w:t>
      </w:r>
    </w:p>
    <w:p>
      <w:pPr>
        <w:pStyle w:val="FirstParagraph"/>
      </w:pPr>
      <w:r>
        <w:t xml:space="preserve">For the global robotics field, this work establishes a replicable model for adapting technology to hyper-local urban contexts—critical as cities worldwide face similar pressures. For Japan, it directly supports the government's target of having 30% of public services automated by 2030. Crucially, this project positions</w:t>
      </w:r>
      <w:r>
        <w:t xml:space="preserve"> </w:t>
      </w:r>
      <w:r>
        <w:rPr>
          <w:bCs/>
          <w:b/>
        </w:rPr>
        <w:t xml:space="preserve">Robotics Engineer</w:t>
      </w:r>
      <w:r>
        <w:t xml:space="preserve">s as essential urban planners in Tokyo’s future, not merely technology deployers.</w:t>
      </w:r>
    </w:p>
    <w:bookmarkEnd w:id="27"/>
    <w:bookmarkStart w:id="28" w:name="timeline-and-feasibility"/>
    <w:p>
      <w:pPr>
        <w:pStyle w:val="Heading2"/>
      </w:pPr>
      <w:r>
        <w:t xml:space="preserve">Timeline and Feasibility</w:t>
      </w:r>
    </w:p>
    <w:p>
      <w:pPr>
        <w:pStyle w:val="FirstParagraph"/>
      </w:pPr>
      <w:r>
        <w:t xml:space="preserve">The 18-month research period aligns with Tokyo's municipal planning cycles. Partnerships with the University of Tokyo's Robotics Lab and AIST (National Institute of Advanced Industrial Science and Technology) provide guaranteed access to test facilities like the "Tokyo Smart City" simulation environment. Funding will be sought through Japan’s JST CREST program, which explicitly prioritizes urban robotics projects meeting national sustainability goals.</w:t>
      </w:r>
    </w:p>
    <w:bookmarkEnd w:id="28"/>
    <w:bookmarkStart w:id="29" w:name="conclusion"/>
    <w:p>
      <w:pPr>
        <w:pStyle w:val="Heading2"/>
      </w:pPr>
      <w:r>
        <w:t xml:space="preserve">Conclusion</w:t>
      </w:r>
    </w:p>
    <w:p>
      <w:pPr>
        <w:pStyle w:val="FirstParagraph"/>
      </w:pPr>
      <w:r>
        <w:t xml:space="preserve">This thesis represents a critical step toward realizing Tokyo’s vision of a "Robot Society" that is truly integrated into daily life. By centering the research on Tokyo's specific spatial, demographic, and cultural realities—rather than applying generic global solutions—it addresses the fundamental gap in current robotics practice. The proposed framework will empower</w:t>
      </w:r>
      <w:r>
        <w:t xml:space="preserve"> </w:t>
      </w:r>
      <w:r>
        <w:rPr>
          <w:bCs/>
          <w:b/>
        </w:rPr>
        <w:t xml:space="preserve">Robotics Engineer</w:t>
      </w:r>
      <w:r>
        <w:t xml:space="preserve">s to design systems that don't just operate in Tokyo but actively enhance its unique urban ecosystem. As Japan faces one of the world's fastest-aging societies, this work promises not only technological advancement but also tangible social impact through robots that respect and reinforce the fabric of Tokyo life. The outcome will be a blueprint for sustainable robotics deployment applicable to all megacities, with Tokyo as the definitive case study.</w:t>
      </w:r>
    </w:p>
    <w:bookmarkEnd w:id="29"/>
    <w:bookmarkStart w:id="30" w:name="references-selected"/>
    <w:p>
      <w:pPr>
        <w:pStyle w:val="Heading2"/>
      </w:pPr>
      <w:r>
        <w:t xml:space="preserve">References (Selected)</w:t>
      </w:r>
    </w:p>
    <w:p>
      <w:pPr>
        <w:numPr>
          <w:ilvl w:val="0"/>
          <w:numId w:val="1007"/>
        </w:numPr>
        <w:pStyle w:val="Compact"/>
      </w:pPr>
      <w:r>
        <w:t xml:space="preserve">Japan Robot Association. (2023). *Urban Robotics Deployment Report*. Tokyo: JRA Publications.</w:t>
      </w:r>
    </w:p>
    <w:p>
      <w:pPr>
        <w:numPr>
          <w:ilvl w:val="0"/>
          <w:numId w:val="1007"/>
        </w:numPr>
        <w:pStyle w:val="Compact"/>
      </w:pPr>
      <w:r>
        <w:t xml:space="preserve">Sakai, T. et al. (2022). "Cultural Context in Service Robotics." *Journal of Human-Robot Interaction*, 11(3), 45-67.</w:t>
      </w:r>
    </w:p>
    <w:p>
      <w:pPr>
        <w:numPr>
          <w:ilvl w:val="0"/>
          <w:numId w:val="1007"/>
        </w:numPr>
        <w:pStyle w:val="Compact"/>
      </w:pPr>
      <w:r>
        <w:t xml:space="preserve">Ministry of Economy, Trade and Industry (METI). (2021). *Robot Revolution Initiative: Strategic Roadmap*. Tokyo.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Urban Sustainability in Tokyo</dc:title>
  <dc:creator/>
  <dc:language>en</dc:language>
  <cp:keywords/>
  <dcterms:created xsi:type="dcterms:W3CDTF">2026-04-29T13:43:11Z</dcterms:created>
  <dcterms:modified xsi:type="dcterms:W3CDTF">2026-04-29T13:43:11Z</dcterms:modified>
</cp:coreProperties>
</file>

<file path=docProps/custom.xml><?xml version="1.0" encoding="utf-8"?>
<Properties xmlns="http://schemas.openxmlformats.org/officeDocument/2006/custom-properties" xmlns:vt="http://schemas.openxmlformats.org/officeDocument/2006/docPropsVTypes"/>
</file>