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Robotics</w:t>
      </w:r>
      <w:r>
        <w:t xml:space="preserve"> </w:t>
      </w:r>
      <w:r>
        <w:t xml:space="preserve">Engineering</w:t>
      </w:r>
      <w:r>
        <w:t xml:space="preserve"> </w:t>
      </w:r>
      <w:r>
        <w:t xml:space="preserve">in</w:t>
      </w:r>
      <w:r>
        <w:t xml:space="preserve"> </w:t>
      </w:r>
      <w:r>
        <w:t xml:space="preserve">Moscow,</w:t>
      </w:r>
      <w:r>
        <w:t xml:space="preserve"> </w:t>
      </w:r>
      <w:r>
        <w:t xml:space="preserve">Russia</w:t>
      </w:r>
    </w:p>
    <w:bookmarkStart w:id="29" w:name="X1e4d1d70662162e2d1f7f55c34a237263ab78f0"/>
    <w:p>
      <w:pPr>
        <w:pStyle w:val="Heading1"/>
      </w:pPr>
      <w:r>
        <w:t xml:space="preserve">Thesis Proposal: Developing a Strategic Framework for Robotics Engineers in Moscow, Russia's Technological Metropolis</w:t>
      </w:r>
    </w:p>
    <w:bookmarkStart w:id="20" w:name="introduction-and-context"/>
    <w:p>
      <w:pPr>
        <w:pStyle w:val="Heading2"/>
      </w:pPr>
      <w:r>
        <w:t xml:space="preserve">Introduction and Context</w:t>
      </w:r>
    </w:p>
    <w:p>
      <w:pPr>
        <w:pStyle w:val="FirstParagraph"/>
      </w:pPr>
      <w:r>
        <w:t xml:space="preserve">The rapid digital transformation of Russia's largest metropolis, Moscow, has created unprecedented demand for specialized technical expertise. As the epicenter of the Russian Federation's technological ambitions under initiatives like the National Digital Economy Program (2017-2030), Moscow is prioritizing robotics integration across industrial, healthcare, and urban infrastructure sectors. This thesis proposal outlines a comprehensive research framework focused on</w:t>
      </w:r>
      <w:r>
        <w:t xml:space="preserve"> </w:t>
      </w:r>
      <w:r>
        <w:rPr>
          <w:bCs/>
          <w:b/>
        </w:rPr>
        <w:t xml:space="preserve">Robotics Engineer</w:t>
      </w:r>
      <w:r>
        <w:t xml:space="preserve"> </w:t>
      </w:r>
      <w:r>
        <w:t xml:space="preserve">professional development and strategic deployment within Moscow's unique operational landscape. The proposed study directly addresses the critical shortage of locally trained robotics specialists capable of navigating Russia's regulatory environment, climatic challenges, and industrial modernization needs—positioning Moscow as a regional leader in applied robotics innovation.</w:t>
      </w:r>
    </w:p>
    <w:bookmarkEnd w:id="20"/>
    <w:bookmarkStart w:id="21" w:name="problem-statement"/>
    <w:p>
      <w:pPr>
        <w:pStyle w:val="Heading2"/>
      </w:pPr>
      <w:r>
        <w:t xml:space="preserve">Problem Statement</w:t>
      </w:r>
    </w:p>
    <w:p>
      <w:pPr>
        <w:pStyle w:val="FirstParagraph"/>
      </w:pPr>
      <w:r>
        <w:t xml:space="preserve">Despite Moscow's significant investments in smart city infrastructure (e.g., 100+ intelligent traffic management systems deployed by 2023) and industrial automation, a severe talent gap persists. Current data from the Russian Ministry of Science and Higher Education (2023) indicates only 15% of robotics specialists work within Moscow's tech hubs, with over 68% of local engineering graduates lacking practical experience in industrial-grade robotic systems. This deficit impedes Russia's ability to achieve its strategic goals under the "Digital Economy" roadmap, particularly in critical sectors like manufacturing (where robotics adoption lags 27% behind EU averages) and healthcare (where surgical robotics deployment remains nascent). The absence of a localized</w:t>
      </w:r>
      <w:r>
        <w:t xml:space="preserve"> </w:t>
      </w:r>
      <w:r>
        <w:rPr>
          <w:bCs/>
          <w:b/>
        </w:rPr>
        <w:t xml:space="preserve">Robotics Engineer</w:t>
      </w:r>
      <w:r>
        <w:t xml:space="preserve"> </w:t>
      </w:r>
      <w:r>
        <w:t xml:space="preserve">training paradigm that accounts for Moscow's specific industrial ecosystem, winter climate resilience requirements (temperatures below -30°C), and compliance with Russian technical standards (GOST) represents a systemic barrier to technological sovereignty.</w:t>
      </w:r>
    </w:p>
    <w:bookmarkEnd w:id="21"/>
    <w:bookmarkStart w:id="22" w:name="research-objectives"/>
    <w:p>
      <w:pPr>
        <w:pStyle w:val="Heading2"/>
      </w:pPr>
      <w:r>
        <w:t xml:space="preserve">Research Objectives</w:t>
      </w:r>
    </w:p>
    <w:p>
      <w:pPr>
        <w:numPr>
          <w:ilvl w:val="0"/>
          <w:numId w:val="1001"/>
        </w:numPr>
        <w:pStyle w:val="Compact"/>
      </w:pPr>
      <w:r>
        <w:rPr>
          <w:bCs/>
          <w:b/>
        </w:rPr>
        <w:t xml:space="preserve">Map Moscow’s Robotics Ecosystem:</w:t>
      </w:r>
      <w:r>
        <w:t xml:space="preserve"> </w:t>
      </w:r>
      <w:r>
        <w:t xml:space="preserve">Identify key industrial, academic, and governmental stakeholders requiring Robotics Engineer services across sectors including automotive manufacturing (e.g., AvtoVAZ plants), public infrastructure (Moscow Metro), and medical robotics.</w:t>
      </w:r>
    </w:p>
    <w:p>
      <w:pPr>
        <w:numPr>
          <w:ilvl w:val="0"/>
          <w:numId w:val="1001"/>
        </w:numPr>
        <w:pStyle w:val="Compact"/>
      </w:pPr>
      <w:r>
        <w:rPr>
          <w:bCs/>
          <w:b/>
        </w:rPr>
        <w:t xml:space="preserve">Develop a Localized Competency Framework:</w:t>
      </w:r>
      <w:r>
        <w:t xml:space="preserve"> </w:t>
      </w:r>
      <w:r>
        <w:t xml:space="preserve">Design a curriculum addressing gaps in Russian technical education—integrating GOST standards, winterized robot design principles, and Moscow-specific urban operational scenarios (e.g., metro tunnel navigation, snow-clearing robotics).</w:t>
      </w:r>
    </w:p>
    <w:p>
      <w:pPr>
        <w:numPr>
          <w:ilvl w:val="0"/>
          <w:numId w:val="1001"/>
        </w:numPr>
        <w:pStyle w:val="Compact"/>
      </w:pPr>
      <w:r>
        <w:rPr>
          <w:bCs/>
          <w:b/>
        </w:rPr>
        <w:t xml:space="preserve">Evaluate Economic Impact:</w:t>
      </w:r>
      <w:r>
        <w:t xml:space="preserve"> </w:t>
      </w:r>
      <w:r>
        <w:t xml:space="preserve">Quantify ROI for Moscow enterprises adopting Robotics Engineers versus imported solutions through case studies with local firms like NII "Sputnik" and Yandex Robotics.</w:t>
      </w:r>
    </w:p>
    <w:bookmarkEnd w:id="22"/>
    <w:bookmarkStart w:id="23" w:name="methodology"/>
    <w:p>
      <w:pPr>
        <w:pStyle w:val="Heading2"/>
      </w:pPr>
      <w:r>
        <w:t xml:space="preserve">Methodology</w:t>
      </w:r>
    </w:p>
    <w:p>
      <w:pPr>
        <w:pStyle w:val="FirstParagraph"/>
      </w:pPr>
      <w:r>
        <w:t xml:space="preserve">This research employs a mixed-methods approach tailored to Russia's context. Phase 1 (Literature &amp; Stakeholder Analysis) will conduct structured interviews with 40+ Moscow-based robotics professionals at MIPT, Skolkovo Innovation Center, and major industrial sites (e.g., IBC "Rus" factory). Phase 2 (Field Study) involves implementing a pilot Robotics Engineer training module at the Moscow Institute of Technology in collaboration with Russian Railways. Key metrics include system efficiency gains in simulated Moscow urban conditions (e.g., robot navigation during snowstorms), cost-benefit analysis against Western imports, and graduate employment rates within Moscow enterprises. Data will be analyzed using SPSS for statistical validation and qualitative thematic coding per Russian academic standards.</w:t>
      </w:r>
    </w:p>
    <w:bookmarkEnd w:id="23"/>
    <w:bookmarkStart w:id="24" w:name="significance-to-russia-moscow"/>
    <w:p>
      <w:pPr>
        <w:pStyle w:val="Heading2"/>
      </w:pPr>
      <w:r>
        <w:t xml:space="preserve">Significance to Russia Moscow</w:t>
      </w:r>
    </w:p>
    <w:p>
      <w:pPr>
        <w:pStyle w:val="FirstParagraph"/>
      </w:pPr>
      <w:r>
        <w:t xml:space="preserve">This thesis directly advances Russia's national strategy by delivering actionable solutions for Moscow as the nation's technological nucleus. A validated framework for</w:t>
      </w:r>
      <w:r>
        <w:t xml:space="preserve"> </w:t>
      </w:r>
      <w:r>
        <w:rPr>
          <w:bCs/>
          <w:b/>
        </w:rPr>
        <w:t xml:space="preserve">Robotics Engineer</w:t>
      </w:r>
      <w:r>
        <w:t xml:space="preserve"> </w:t>
      </w:r>
      <w:r>
        <w:t xml:space="preserve">development will:</w:t>
      </w:r>
    </w:p>
    <w:p>
      <w:pPr>
        <w:numPr>
          <w:ilvl w:val="0"/>
          <w:numId w:val="1002"/>
        </w:numPr>
        <w:pStyle w:val="Compact"/>
      </w:pPr>
      <w:r>
        <w:rPr>
          <w:bCs/>
          <w:b/>
        </w:rPr>
        <w:t xml:space="preserve">Strengthen Local Industry:</w:t>
      </w:r>
      <w:r>
        <w:t xml:space="preserve"> </w:t>
      </w:r>
      <w:r>
        <w:t xml:space="preserve">Reduce reliance on foreign robotics integrators (currently 83% of Moscow contracts) by creating a homegrown talent pipeline aligned with Russian industrial needs.</w:t>
      </w:r>
    </w:p>
    <w:p>
      <w:pPr>
        <w:numPr>
          <w:ilvl w:val="0"/>
          <w:numId w:val="1002"/>
        </w:numPr>
        <w:pStyle w:val="Compact"/>
      </w:pPr>
      <w:r>
        <w:rPr>
          <w:bCs/>
          <w:b/>
        </w:rPr>
        <w:t xml:space="preserve">Optimize Urban Infrastructure:</w:t>
      </w:r>
      <w:r>
        <w:t xml:space="preserve"> </w:t>
      </w:r>
      <w:r>
        <w:t xml:space="preserve">Enable deployment of climate-adapted robots for metro maintenance, waste management, and emergency response—critical in Moscow's dense urban environment where 12 million residents face annual traffic congestion losses exceeding $1.8 billion.</w:t>
      </w:r>
    </w:p>
    <w:p>
      <w:pPr>
        <w:numPr>
          <w:ilvl w:val="0"/>
          <w:numId w:val="1002"/>
        </w:numPr>
        <w:pStyle w:val="Compact"/>
      </w:pPr>
      <w:r>
        <w:rPr>
          <w:bCs/>
          <w:b/>
        </w:rPr>
        <w:t xml:space="preserve">Elevate Russia's Global Standing:</w:t>
      </w:r>
      <w:r>
        <w:t xml:space="preserve"> </w:t>
      </w:r>
      <w:r>
        <w:t xml:space="preserve">Position Moscow as a robotics R&amp;D hub within the Eurasian Economic Union (EEU), leveraging its status as the only Russian city with &gt;$4.2B in dedicated robotics venture capital (2023 Skolkovo report).</w:t>
      </w:r>
    </w:p>
    <w:bookmarkEnd w:id="24"/>
    <w:bookmarkStart w:id="25" w:name="comparative-advantage-why-moscow"/>
    <w:p>
      <w:pPr>
        <w:pStyle w:val="Heading2"/>
      </w:pPr>
      <w:r>
        <w:t xml:space="preserve">Comparative Advantage: Why Moscow?</w:t>
      </w:r>
    </w:p>
    <w:p>
      <w:pPr>
        <w:pStyle w:val="FirstParagraph"/>
      </w:pPr>
      <w:r>
        <w:t xml:space="preserve">Unlike generic robotics studies, this proposal centers on Moscow’s unique attributes:</w:t>
      </w:r>
    </w:p>
    <w:p>
      <w:pPr>
        <w:numPr>
          <w:ilvl w:val="0"/>
          <w:numId w:val="1003"/>
        </w:numPr>
        <w:pStyle w:val="Compact"/>
      </w:pPr>
      <w:r>
        <w:rPr>
          <w:bCs/>
          <w:b/>
        </w:rPr>
        <w:t xml:space="preserve">Climatic Resilience:</w:t>
      </w:r>
      <w:r>
        <w:t xml:space="preserve"> </w:t>
      </w:r>
      <w:r>
        <w:t xml:space="preserve">Research will address ice-resistant sensor design and thermal management—universally overlooked in Western robotics literature but vital for Russia.</w:t>
      </w:r>
    </w:p>
    <w:p>
      <w:pPr>
        <w:numPr>
          <w:ilvl w:val="0"/>
          <w:numId w:val="1003"/>
        </w:numPr>
        <w:pStyle w:val="Compact"/>
      </w:pPr>
      <w:r>
        <w:rPr>
          <w:bCs/>
          <w:b/>
        </w:rPr>
        <w:t xml:space="preserve">Regulatory Alignment:</w:t>
      </w:r>
      <w:r>
        <w:t xml:space="preserve"> </w:t>
      </w:r>
      <w:r>
        <w:t xml:space="preserve">Curriculum integration of GOST-R standards (e.g., safety protocols for industrial robots) ensures immediate workplace applicability within Moscow's legal framework.</w:t>
      </w:r>
    </w:p>
    <w:p>
      <w:pPr>
        <w:numPr>
          <w:ilvl w:val="0"/>
          <w:numId w:val="1003"/>
        </w:numPr>
        <w:pStyle w:val="Compact"/>
      </w:pPr>
      <w:r>
        <w:rPr>
          <w:bCs/>
          <w:b/>
        </w:rPr>
        <w:t xml:space="preserve">Industrial Synergy:</w:t>
      </w:r>
      <w:r>
        <w:t xml:space="preserve"> </w:t>
      </w:r>
      <w:r>
        <w:t xml:space="preserve">Focus on Moscow’s automotive and transport hubs enables direct industry partnerships, accelerating real-world implementation versus academic-only studies.</w:t>
      </w:r>
    </w:p>
    <w:bookmarkEnd w:id="25"/>
    <w:bookmarkStart w:id="26" w:name="expected-outcomes"/>
    <w:p>
      <w:pPr>
        <w:pStyle w:val="Heading2"/>
      </w:pPr>
      <w:r>
        <w:t xml:space="preserve">Expected Outcomes</w:t>
      </w:r>
    </w:p>
    <w:p>
      <w:pPr>
        <w:pStyle w:val="FirstParagraph"/>
      </w:pPr>
      <w:r>
        <w:t xml:space="preserve">The thesis will produce three deliverables: (1) A validated Robotics Engineer competency matrix for Moscow enterprises, (2) A scalable training module adopted by at least two Moscow universities (e.g., MIPT, MISiS), and (3) An economic model demonstrating how local robotics talent could generate $47M+ annually in reduced operational costs for Moscow industrial clusters. These outcomes directly support Russia's "Year of Technology" 2025 goals and the Moscow Mayor’s Office Strategic Plan for Innovation (2021-2030).</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Moscow-Specific Activities</w:t>
            </w:r>
          </w:p>
        </w:tc>
      </w:tr>
      <w:tr>
        <w:tc>
          <w:tcPr/>
          <w:p>
            <w:pPr>
              <w:pStyle w:val="Compact"/>
              <w:jc w:val="left"/>
            </w:pPr>
            <w:r>
              <w:t xml:space="preserve">Literature Review &amp; Stakeholder Mapping</w:t>
            </w:r>
          </w:p>
        </w:tc>
        <w:tc>
          <w:tcPr/>
          <w:p>
            <w:pPr>
              <w:pStyle w:val="Compact"/>
              <w:jc w:val="left"/>
            </w:pPr>
            <w:r>
              <w:t xml:space="preserve">Months 1-3</w:t>
            </w:r>
          </w:p>
        </w:tc>
        <w:tc>
          <w:tcPr/>
          <w:p>
            <w:pPr>
              <w:pStyle w:val="Compact"/>
              <w:jc w:val="left"/>
            </w:pPr>
            <w:r>
              <w:t xml:space="preserve">Scheduled visits to Moscow Robotics Cluster, Skolkovo AI Park interviews.</w:t>
            </w:r>
          </w:p>
        </w:tc>
      </w:tr>
      <w:tr>
        <w:tc>
          <w:tcPr/>
          <w:p>
            <w:pPr>
              <w:pStyle w:val="Compact"/>
              <w:jc w:val="left"/>
            </w:pPr>
            <w:r>
              <w:t xml:space="preserve">Curriculum Development &amp; Pilot Testing</w:t>
            </w:r>
          </w:p>
        </w:tc>
        <w:tc>
          <w:tcPr/>
          <w:p>
            <w:pPr>
              <w:pStyle w:val="Compact"/>
              <w:jc w:val="left"/>
            </w:pPr>
            <w:r>
              <w:t xml:space="preserve">Months 4-8</w:t>
            </w:r>
          </w:p>
        </w:tc>
        <w:tc>
          <w:tcPr/>
          <w:p>
            <w:pPr>
              <w:pStyle w:val="Compact"/>
              <w:jc w:val="left"/>
            </w:pPr>
            <w:r>
              <w:t xml:space="preserve">Collaboration with Moscow State Technical University; winter simulation trials at VDNKh test facility.</w:t>
            </w:r>
          </w:p>
        </w:tc>
      </w:tr>
      <w:tr>
        <w:tc>
          <w:tcPr/>
          <w:p>
            <w:pPr>
              <w:pStyle w:val="Compact"/>
              <w:jc w:val="left"/>
            </w:pPr>
            <w:r>
              <w:t xml:space="preserve">Data Analysis &amp; Thesis Drafting</w:t>
            </w:r>
          </w:p>
        </w:tc>
        <w:tc>
          <w:tcPr/>
          <w:p>
            <w:pPr>
              <w:pStyle w:val="Compact"/>
              <w:jc w:val="left"/>
            </w:pPr>
            <w:r>
              <w:t xml:space="preserve">Months 9-12</w:t>
            </w:r>
          </w:p>
        </w:tc>
        <w:tc>
          <w:tcPr/>
          <w:p>
            <w:pPr>
              <w:pStyle w:val="Compact"/>
              <w:jc w:val="left"/>
            </w:pPr>
            <w:r>
              <w:t xml:space="preserve">Validation workshops with Russian Robotics Association (Moscow chapter).</w:t>
            </w:r>
          </w:p>
        </w:tc>
      </w:tr>
    </w:tbl>
    <w:bookmarkEnd w:id="27"/>
    <w:bookmarkStart w:id="28" w:name="conclusion"/>
    <w:p>
      <w:pPr>
        <w:pStyle w:val="Heading2"/>
      </w:pPr>
      <w:r>
        <w:t xml:space="preserve">Conclusion</w:t>
      </w:r>
    </w:p>
    <w:p>
      <w:pPr>
        <w:pStyle w:val="FirstParagraph"/>
      </w:pPr>
      <w:r>
        <w:t xml:space="preserve">This thesis proposal constitutes a critical step toward establishing Moscow as the preeminent robotics innovation hub in Russia and Eurasia. By centering the research around the role of the</w:t>
      </w:r>
      <w:r>
        <w:t xml:space="preserve"> </w:t>
      </w:r>
      <w:r>
        <w:rPr>
          <w:bCs/>
          <w:b/>
        </w:rPr>
        <w:t xml:space="preserve">Robotics Engineer</w:t>
      </w:r>
      <w:r>
        <w:t xml:space="preserve"> </w:t>
      </w:r>
      <w:r>
        <w:t xml:space="preserve">within Moscow's operational, climatic, and regulatory context, it transcends theoretical inquiry to deliver tangible value for Russian industry. The resulting framework will not only close a vital talent gap but also accelerate Russia's path toward technological self-sufficiency in robotics—a strategic imperative for national competitiveness. As Moscow continues its evolution into a "smart metropolis," this research positions the</w:t>
      </w:r>
      <w:r>
        <w:t xml:space="preserve"> </w:t>
      </w:r>
      <w:r>
        <w:rPr>
          <w:bCs/>
          <w:b/>
        </w:rPr>
        <w:t xml:space="preserve">Robotics Engineer</w:t>
      </w:r>
      <w:r>
        <w:t xml:space="preserve"> </w:t>
      </w:r>
      <w:r>
        <w:t xml:space="preserve">as the indispensable catalyst for sustainable, locally adapted innovation in</w:t>
      </w:r>
      <w:r>
        <w:t xml:space="preserve"> </w:t>
      </w:r>
      <w:r>
        <w:rPr>
          <w:bCs/>
          <w:b/>
        </w:rPr>
        <w:t xml:space="preserve">Russia Moscow</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Robotics Engineering in Moscow, Russia</dc:title>
  <dc:creator/>
  <dc:language>en</dc:language>
  <cp:keywords/>
  <dcterms:created xsi:type="dcterms:W3CDTF">2026-07-15T05:38:17Z</dcterms:created>
  <dcterms:modified xsi:type="dcterms:W3CDTF">2026-07-15T05:38:17Z</dcterms:modified>
</cp:coreProperties>
</file>

<file path=docProps/custom.xml><?xml version="1.0" encoding="utf-8"?>
<Properties xmlns="http://schemas.openxmlformats.org/officeDocument/2006/custom-properties" xmlns:vt="http://schemas.openxmlformats.org/officeDocument/2006/docPropsVTypes"/>
</file>