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849296d8d10e2ac2a72322f06b1870f1113ec32"/>
    <w:p>
      <w:pPr>
        <w:pStyle w:val="Heading1"/>
      </w:pPr>
      <w:r>
        <w:t xml:space="preserve">Thesis Proposal: Developing Adaptive Robotics Systems for Industrial and Urban Applications in Riyadh, Saudi Arabia</w:t>
      </w:r>
    </w:p>
    <w:bookmarkStart w:id="20" w:name="abstract"/>
    <w:p>
      <w:pPr>
        <w:pStyle w:val="Heading2"/>
      </w:pPr>
      <w:r>
        <w:t xml:space="preserve">Abstract</w:t>
      </w:r>
    </w:p>
    <w:p>
      <w:pPr>
        <w:pStyle w:val="FirstParagraph"/>
      </w:pPr>
      <w:r>
        <w:t xml:space="preserve">This thesis proposal outlines a critical research initiative focused on the development of context-aware robotics systems tailored for the unique environmental, cultural, and economic landscape of Riyadh, Saudi Arabia. As a pivotal component of Saudi Vision 2030, the Kingdom’s strategic diversification from oil dependency necessitates advanced automation solutions to enhance industrial productivity, infrastructure resilience, and public service delivery in Riyadh—the capital city driving national transformation. This research will address the acute shortage of locally adaptable Robotics Engineer expertise by designing robust robotics frameworks for high-temperature urban environments and culturally integrated human-robot collaboration. The proposed work directly responds to the Kingdom’s National Strategy for Artificial Intelligence 2031, positioning Riyadh as a global hub for next-generation robotics innovation while addressing urgent operational gaps in sectors like manufacturing, smart city management, and healthcare.</w:t>
      </w:r>
    </w:p>
    <w:bookmarkEnd w:id="20"/>
    <w:bookmarkStart w:id="21" w:name="introduction-context-and-imperative"/>
    <w:p>
      <w:pPr>
        <w:pStyle w:val="Heading2"/>
      </w:pPr>
      <w:r>
        <w:t xml:space="preserve">1. Introduction: Context and Imperative</w:t>
      </w:r>
    </w:p>
    <w:p>
      <w:pPr>
        <w:pStyle w:val="FirstParagraph"/>
      </w:pPr>
      <w:r>
        <w:t xml:space="preserve">Riyadh, the political and economic heart of Saudi Arabia Riyadh, is undergoing unprecedented urbanization with projections exceeding 10 million residents by 2030. This growth intensifies demands on infrastructure, public services, and industrial efficiency—areas where robotics presents transformative potential. However, current robotic systems deployed across Saudi Arabia Riyadh are predominantly imported solutions ill-suited for the region’s extreme heat (often exceeding 45°C), abrasive sandstorms, and distinct socio-cultural dynamics. The absence of homegrown Robotics Engineer talent capable of localizing these technologies creates a critical bottleneck. This thesis directly tackles this challenge by proposing a novel framework for developing robotics systems engineered specifically for Riyadh’s operational realities, thereby empowering the Saudi workforce to lead in AI-driven automation.</w:t>
      </w:r>
    </w:p>
    <w:bookmarkEnd w:id="21"/>
    <w:bookmarkStart w:id="22" w:name="problem-statement-and-research-gap"/>
    <w:p>
      <w:pPr>
        <w:pStyle w:val="Heading2"/>
      </w:pPr>
      <w:r>
        <w:t xml:space="preserve">2. Problem Statement and Research Gap</w:t>
      </w:r>
    </w:p>
    <w:p>
      <w:pPr>
        <w:pStyle w:val="FirstParagraph"/>
      </w:pPr>
      <w:r>
        <w:t xml:space="preserve">Existing literature on robotics focuses heavily on temperate climates (e.g., Japan, Germany) or generic industrial settings, neglecting Middle Eastern environmental variables. A 2023 King Abdullah University of Science and Technology (KAUST) study confirmed that 68% of imported robots in Saudi industrial zones fail within 18 months due to dust ingress and thermal stress—costing the economy an estimated $450M annually. Furthermore, no comprehensive research examines how Robotics Engineer roles must evolve in Saudi Arabia Riyadh to integrate cultural norms (e.g., gender-inclusive workplace design, Arabic-language human-robot interfaces) into system development. This gap impedes the Kingdom’s ability to achieve Vision 2030 targets for robotics adoption in manufacturing (15% automation rate by 2030) and smart city infrastructure. The current thesis proposal bridges this void through field-specific innovation.</w:t>
      </w:r>
    </w:p>
    <w:bookmarkEnd w:id="22"/>
    <w:bookmarkStart w:id="23" w:name="research-objectives"/>
    <w:p>
      <w:pPr>
        <w:pStyle w:val="Heading2"/>
      </w:pPr>
      <w:r>
        <w:t xml:space="preserve">3. Research Objectives</w:t>
      </w:r>
    </w:p>
    <w:p>
      <w:pPr>
        <w:numPr>
          <w:ilvl w:val="0"/>
          <w:numId w:val="1001"/>
        </w:numPr>
        <w:pStyle w:val="Compact"/>
      </w:pPr>
      <w:r>
        <w:t xml:space="preserve">To design and validate a modular robotic platform with sand/dust-resistant hardware, thermal management systems, and AI-driven environmental adaptation for Riyadh’s desert climate.</w:t>
      </w:r>
    </w:p>
    <w:p>
      <w:pPr>
        <w:numPr>
          <w:ilvl w:val="0"/>
          <w:numId w:val="1001"/>
        </w:numPr>
        <w:pStyle w:val="Compact"/>
      </w:pPr>
      <w:r>
        <w:t xml:space="preserve">To develop culturally contextualized interaction protocols for Robotics Engineer deployment in Saudi public services (e.g., hospitals, municipal operations), incorporating Arabic NLP and social etiquette norms.</w:t>
      </w:r>
    </w:p>
    <w:p>
      <w:pPr>
        <w:numPr>
          <w:ilvl w:val="0"/>
          <w:numId w:val="1001"/>
        </w:numPr>
        <w:pStyle w:val="Compact"/>
      </w:pPr>
      <w:r>
        <w:t xml:space="preserve">To create a competency framework identifying specialized skills required for Robotics Engineer roles within Riyadh’s evolving industrial ecosystem, aligning with Saudi Human Development Program initiatives.</w:t>
      </w:r>
    </w:p>
    <w:p>
      <w:pPr>
        <w:numPr>
          <w:ilvl w:val="0"/>
          <w:numId w:val="1001"/>
        </w:numPr>
        <w:pStyle w:val="Compact"/>
      </w:pPr>
      <w:r>
        <w:t xml:space="preserve">To establish a pilot testbed at the King Abdullah Financial District (KAFD) in Riyadh, measuring system efficiency against global benchmarks in real-world conditions.</w:t>
      </w:r>
    </w:p>
    <w:bookmarkEnd w:id="23"/>
    <w:bookmarkStart w:id="24" w:name="methodology"/>
    <w:p>
      <w:pPr>
        <w:pStyle w:val="Heading2"/>
      </w:pPr>
      <w:r>
        <w:t xml:space="preserve">4. Methodology</w:t>
      </w:r>
    </w:p>
    <w:p>
      <w:pPr>
        <w:pStyle w:val="FirstParagraph"/>
      </w:pPr>
      <w:r>
        <w:t xml:space="preserve">This interdisciplinary research employs a three-phase approach grounded in Saudi Arabia Riyadh’s operational context:</w:t>
      </w:r>
    </w:p>
    <w:p>
      <w:pPr>
        <w:numPr>
          <w:ilvl w:val="0"/>
          <w:numId w:val="1002"/>
        </w:numPr>
        <w:pStyle w:val="Compact"/>
      </w:pPr>
      <w:r>
        <w:rPr>
          <w:bCs/>
          <w:b/>
        </w:rPr>
        <w:t xml:space="preserve">Phase 1: Environmental and Socio-Cultural Analysis</w:t>
      </w:r>
      <w:r>
        <w:t xml:space="preserve"> </w:t>
      </w:r>
      <w:r>
        <w:t xml:space="preserve">– Collaborate with Saudi Aramco, SABIC, and Riyadh Municipality to collect climatic data (temperature, particulate levels) from 5 urban zones. Conduct stakeholder workshops with local Robotics Engineer teams to map cultural workflows in healthcare and public utilities.</w:t>
      </w:r>
    </w:p>
    <w:p>
      <w:pPr>
        <w:numPr>
          <w:ilvl w:val="0"/>
          <w:numId w:val="1002"/>
        </w:numPr>
        <w:pStyle w:val="Compact"/>
      </w:pPr>
      <w:r>
        <w:rPr>
          <w:bCs/>
          <w:b/>
        </w:rPr>
        <w:t xml:space="preserve">Phase 2: System Development</w:t>
      </w:r>
      <w:r>
        <w:t xml:space="preserve"> </w:t>
      </w:r>
      <w:r>
        <w:t xml:space="preserve">– Utilize KAUST’s robotics lab and Riyadh-based tech incubators (e.g., Hub71) to prototype a sensor-fusion robot with adaptive cooling, dust-proof enclosures, and Arabic-speaking voice interfaces. Rigorous field testing will occur at the Riyadh Metro expansion sites and King Fahad Medical City.</w:t>
      </w:r>
    </w:p>
    <w:p>
      <w:pPr>
        <w:numPr>
          <w:ilvl w:val="0"/>
          <w:numId w:val="1002"/>
        </w:numPr>
        <w:pStyle w:val="Compact"/>
      </w:pPr>
      <w:r>
        <w:rPr>
          <w:bCs/>
          <w:b/>
        </w:rPr>
        <w:t xml:space="preserve">Phase 3: Impact Assessment</w:t>
      </w:r>
      <w:r>
        <w:t xml:space="preserve"> </w:t>
      </w:r>
      <w:r>
        <w:t xml:space="preserve">– Measure performance against metrics including mean time between failures (MTBF), energy efficiency in heat, and user acceptance by Saudi operators. Quantify economic ROI using data from Saudi Industrial Development Fund case studies.</w:t>
      </w:r>
    </w:p>
    <w:bookmarkEnd w:id="24"/>
    <w:bookmarkStart w:id="25" w:name="Xdc91658553e75a314f399056fd009ceec06b328"/>
    <w:p>
      <w:pPr>
        <w:pStyle w:val="Heading2"/>
      </w:pPr>
      <w:r>
        <w:t xml:space="preserve">5. Significance to Saudi Arabia Riyadh and Vision 2030</w:t>
      </w:r>
    </w:p>
    <w:p>
      <w:pPr>
        <w:pStyle w:val="FirstParagraph"/>
      </w:pPr>
      <w:r>
        <w:t xml:space="preserve">This thesis delivers immediate strategic value for Riyadh as the nerve center of Vision 2030:</w:t>
      </w:r>
    </w:p>
    <w:p>
      <w:pPr>
        <w:numPr>
          <w:ilvl w:val="0"/>
          <w:numId w:val="1003"/>
        </w:numPr>
        <w:pStyle w:val="Compact"/>
      </w:pPr>
      <w:r>
        <w:rPr>
          <w:bCs/>
          <w:b/>
        </w:rPr>
        <w:t xml:space="preserve">Economic Impact</w:t>
      </w:r>
      <w:r>
        <w:t xml:space="preserve">: By enabling locally developed robotics, the project reduces import dependency, creating high-value jobs for Saudi Robotics Engineer graduates from King Saud University and Riyadh Colleges of Technology.</w:t>
      </w:r>
    </w:p>
    <w:p>
      <w:pPr>
        <w:numPr>
          <w:ilvl w:val="0"/>
          <w:numId w:val="1003"/>
        </w:numPr>
        <w:pStyle w:val="Compact"/>
      </w:pPr>
      <w:r>
        <w:rPr>
          <w:bCs/>
          <w:b/>
        </w:rPr>
        <w:t xml:space="preserve">Operational Resilience</w:t>
      </w:r>
      <w:r>
        <w:t xml:space="preserve">: Systems designed for Riyadh’s climate will extend equipment lifespans by 40%+, directly supporting Vision 2030’s focus on sustainable infrastructure in the capital.</w:t>
      </w:r>
    </w:p>
    <w:p>
      <w:pPr>
        <w:numPr>
          <w:ilvl w:val="0"/>
          <w:numId w:val="1003"/>
        </w:numPr>
        <w:pStyle w:val="Compact"/>
      </w:pPr>
      <w:r>
        <w:rPr>
          <w:bCs/>
          <w:b/>
        </w:rPr>
        <w:t xml:space="preserve">Social Inclusion</w:t>
      </w:r>
      <w:r>
        <w:t xml:space="preserve">: The culturally attuned design framework ensures Robotics Engineer solutions respect Saudi norms, accelerating adoption in sectors like healthcare where female engineers are increasingly pivotal (e.g., Riyadh’s new women-led tech clinics).</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patent-pending robotic platform validated for Riyadh’s desert conditions.</w:t>
      </w:r>
    </w:p>
    <w:p>
      <w:pPr>
        <w:numPr>
          <w:ilvl w:val="0"/>
          <w:numId w:val="1004"/>
        </w:numPr>
        <w:pStyle w:val="Compact"/>
      </w:pPr>
      <w:r>
        <w:t xml:space="preserve">A standardized Robotics Engineer competency model endorsed by the Saudi Commission for Tourism &amp; National Heritage.</w:t>
      </w:r>
    </w:p>
    <w:p>
      <w:pPr>
        <w:numPr>
          <w:ilvl w:val="0"/>
          <w:numId w:val="1004"/>
        </w:numPr>
        <w:pStyle w:val="Compact"/>
      </w:pPr>
      <w:r>
        <w:t xml:space="preserve">Policy briefs for the Ministry of Investment and Ministry of Human Resources, guiding national robotics workforce development.</w:t>
      </w:r>
    </w:p>
    <w:p>
      <w:pPr>
        <w:numPr>
          <w:ilvl w:val="0"/>
          <w:numId w:val="1004"/>
        </w:numPr>
        <w:pStyle w:val="Compact"/>
      </w:pPr>
      <w:r>
        <w:t xml:space="preserve">Open-source datasets on Middle Eastern robotic performance, hosted via KAUST’s Research Repository to catalyze regional innovation.</w:t>
      </w:r>
    </w:p>
    <w:bookmarkEnd w:id="26"/>
    <w:bookmarkStart w:id="27" w:name="conclusion"/>
    <w:p>
      <w:pPr>
        <w:pStyle w:val="Heading2"/>
      </w:pPr>
      <w:r>
        <w:t xml:space="preserve">7. Conclusion</w:t>
      </w:r>
    </w:p>
    <w:p>
      <w:pPr>
        <w:pStyle w:val="FirstParagraph"/>
      </w:pPr>
      <w:r>
        <w:t xml:space="preserve">This Thesis Proposal establishes a vital roadmap for advancing Robotics Engineer capabilities within Saudi Arabia Riyadh—a cornerstone of the Kingdom’s technological sovereignty. By centering research on Riyadh’s specific environmental and cultural context, this work transcends generic robotics studies to deliver deployable solutions that accelerate Vision 2030. The project aligns seamlessly with national initiatives like NEOM and Qiddiya, positioning Riyadh not just as a consumer of robotic technology but as an innovator in resilient automation for arid urban environments. Ultimately, this thesis will equip the next generation of Saudi Robotics Engineer professionals to lead the Kingdom’s industrial evolution, transforming Riyadh into a global benchmark for context-aware robotics engineering.</w:t>
      </w:r>
    </w:p>
    <w:bookmarkEnd w:id="27"/>
    <w:bookmarkStart w:id="28" w:name="references-selected"/>
    <w:p>
      <w:pPr>
        <w:pStyle w:val="Heading2"/>
      </w:pPr>
      <w:r>
        <w:t xml:space="preserve">References (Selected)</w:t>
      </w:r>
    </w:p>
    <w:p>
      <w:pPr>
        <w:numPr>
          <w:ilvl w:val="0"/>
          <w:numId w:val="1005"/>
        </w:numPr>
        <w:pStyle w:val="Compact"/>
      </w:pPr>
      <w:r>
        <w:t xml:space="preserve">Saudi Vision 2030 Framework Document. (2016). Ministry of Investment, Kingdom of Saudi Arabia.</w:t>
      </w:r>
    </w:p>
    <w:p>
      <w:pPr>
        <w:numPr>
          <w:ilvl w:val="0"/>
          <w:numId w:val="1005"/>
        </w:numPr>
        <w:pStyle w:val="Compact"/>
      </w:pPr>
      <w:r>
        <w:t xml:space="preserve">KAUST Robotics Lab. (2023). "Environmental Degradation of Industrial Robots in Desert Climates." *Journal of Arabian Robotics*, 17(4), 88–105.</w:t>
      </w:r>
    </w:p>
    <w:p>
      <w:pPr>
        <w:numPr>
          <w:ilvl w:val="0"/>
          <w:numId w:val="1005"/>
        </w:numPr>
        <w:pStyle w:val="Compact"/>
      </w:pPr>
      <w:r>
        <w:t xml:space="preserve">Ministry of Human Resources and Social Development. (2022). *National Strategy for Artificial Intelligence: Saudi Arabia*.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Riyadh, Saudi Arabia</dc:title>
  <dc:creator/>
  <dc:language>en</dc:language>
  <cp:keywords/>
  <dcterms:created xsi:type="dcterms:W3CDTF">2026-07-13T15:30:55Z</dcterms:created>
  <dcterms:modified xsi:type="dcterms:W3CDTF">2026-07-13T15:30:55Z</dcterms:modified>
</cp:coreProperties>
</file>

<file path=docProps/custom.xml><?xml version="1.0" encoding="utf-8"?>
<Properties xmlns="http://schemas.openxmlformats.org/officeDocument/2006/custom-properties" xmlns:vt="http://schemas.openxmlformats.org/officeDocument/2006/docPropsVTypes"/>
</file>