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4db1dae938619cc1264430d067c16122ab9113f"/>
    <w:p>
      <w:pPr>
        <w:pStyle w:val="Heading1"/>
      </w:pPr>
      <w:r>
        <w:t xml:space="preserve">Thesis Proposal: Advancing Urban Resilience through Robotics Engineering in United States Miami</w:t>
      </w:r>
    </w:p>
    <w:bookmarkStart w:id="20" w:name="introduction-and-problem-statement"/>
    <w:p>
      <w:pPr>
        <w:pStyle w:val="Heading2"/>
      </w:pPr>
      <w:r>
        <w:t xml:space="preserve">Introduction and Problem Statement</w:t>
      </w:r>
    </w:p>
    <w:p>
      <w:pPr>
        <w:pStyle w:val="FirstParagraph"/>
      </w:pPr>
      <w:r>
        <w:t xml:space="preserve">The rapid urbanization of the United States Miami metropolitan area has created unprecedented challenges for infrastructure, public safety, and environmental sustainability. As one of the nation's fastest-growing coastal cities facing rising sea levels, frequent extreme weather events, and chronic traffic congestion, Miami demands innovative engineering solutions. This thesis proposes a comprehensive framework for deploying specialized Robotics Engineer systems tailored to Miami's unique urban ecosystem. Current disaster response protocols struggle with hurricane aftermaths, while tourism-driven infrastructure strains reveal critical gaps in adaptive automation. This research addresses the urgent need for Robotics Engineer expertise that integrates climate resilience, smart city infrastructure, and community-centric design specifically for United States Miami.</w:t>
      </w:r>
    </w:p>
    <w:bookmarkEnd w:id="20"/>
    <w:bookmarkStart w:id="21" w:name="significance-of-research-context"/>
    <w:p>
      <w:pPr>
        <w:pStyle w:val="Heading2"/>
      </w:pPr>
      <w:r>
        <w:t xml:space="preserve">Significance of Research Context</w:t>
      </w:r>
    </w:p>
    <w:p>
      <w:pPr>
        <w:pStyle w:val="FirstParagraph"/>
      </w:pPr>
      <w:r>
        <w:t xml:space="preserve">Miami's vulnerability to climate change—evidenced by 70% of its land being less than 6 feet above sea level—demands robotics solutions beyond conventional applications. The city's $4.5 billion annual economic loss from weather events (National Oceanic and Atmospheric Administration, 2023) underscores the stakes. Unlike generic robotics research, this proposal centers on Miami's tripartite challenges: coastal erosion management, hurricane recovery acceleration, and sustainable tourism infrastructure. A dedicated Robotics Engineer in United States Miami must navigate regulatory complexities like Florida's coastal construction codes while designing systems for high-humidity environments that degrade standard hardware. This work bridges the gap between academic robotics research and real-world urban implementation in a climate-vulnerable megacity.</w:t>
      </w:r>
    </w:p>
    <w:bookmarkEnd w:id="21"/>
    <w:bookmarkStart w:id="22" w:name="X9a7819ce1b28d6da5effd4546dd88ac2864e9f9"/>
    <w:p>
      <w:pPr>
        <w:pStyle w:val="Heading2"/>
      </w:pPr>
      <w:r>
        <w:t xml:space="preserve">Literature Review: Gaps in Current Approaches</w:t>
      </w:r>
    </w:p>
    <w:p>
      <w:pPr>
        <w:pStyle w:val="FirstParagraph"/>
      </w:pPr>
      <w:r>
        <w:t xml:space="preserve">Existing robotics literature focuses on industrial automation or military applications, neglecting urban climate adaptation. Studies from MIT (2021) demonstrate autonomous drones for flood mapping but ignore Miami's unique saltwater corrosion challenges. Similarly, University of Florida research on swarm robotics for disaster response lacks integration with Miami-Dade County's emergency management protocols. Crucially, no current framework addresses the "last-mile" deployment problem: how to transition from lab-tested robots to functional city systems amid Miami's dense historic districts and cultural sensitivity. This gap necessitates a new paradigm where the Robotics Engineer becomes a civic integrator—not merely a technologist—collaborating with Miami’s Department of Public Works, South Florida Water Management District, and community advocacy groups.</w:t>
      </w:r>
    </w:p>
    <w:bookmarkEnd w:id="22"/>
    <w:bookmarkStart w:id="23" w:name="research-objectives"/>
    <w:p>
      <w:pPr>
        <w:pStyle w:val="Heading2"/>
      </w:pPr>
      <w:r>
        <w:t xml:space="preserve">Research Objectives</w:t>
      </w:r>
    </w:p>
    <w:p>
      <w:pPr>
        <w:numPr>
          <w:ilvl w:val="0"/>
          <w:numId w:val="1001"/>
        </w:numPr>
        <w:pStyle w:val="Compact"/>
      </w:pPr>
      <w:r>
        <w:rPr>
          <w:bCs/>
          <w:b/>
        </w:rPr>
        <w:t xml:space="preserve">Contextual Robotics Design:</w:t>
      </w:r>
      <w:r>
        <w:t xml:space="preserve"> </w:t>
      </w:r>
      <w:r>
        <w:t xml:space="preserve">Develop weather-hardened robotics systems for Miami-specific tasks: (a) autonomous inspection of aging seawalls using sonar-equipped drones; (b) debris-clearing robots with saltwater-resistant components; and (c) tourism-focused delivery bots that navigate pedestrian zones without disrupting beachfront economies.</w:t>
      </w:r>
    </w:p>
    <w:p>
      <w:pPr>
        <w:numPr>
          <w:ilvl w:val="0"/>
          <w:numId w:val="1001"/>
        </w:numPr>
        <w:pStyle w:val="Compact"/>
      </w:pPr>
      <w:r>
        <w:rPr>
          <w:bCs/>
          <w:b/>
        </w:rPr>
        <w:t xml:space="preserve">Regulatory Integration Framework:</w:t>
      </w:r>
      <w:r>
        <w:t xml:space="preserve"> </w:t>
      </w:r>
      <w:r>
        <w:t xml:space="preserve">Create a compliance model aligning Robotics Engineer deployments with Florida Statute § 380.01 (disaster response protocols) and Miami’s Climate Action Plan 2050, including community impact assessments for robot operations in culturally significant areas like Little Havana and South Beach.</w:t>
      </w:r>
    </w:p>
    <w:p>
      <w:pPr>
        <w:numPr>
          <w:ilvl w:val="0"/>
          <w:numId w:val="1001"/>
        </w:numPr>
        <w:pStyle w:val="Compact"/>
      </w:pPr>
      <w:r>
        <w:rPr>
          <w:bCs/>
          <w:b/>
        </w:rPr>
        <w:t xml:space="preserve">Cost-Effective Scalability:</w:t>
      </w:r>
      <w:r>
        <w:t xml:space="preserve"> </w:t>
      </w:r>
      <w:r>
        <w:t xml:space="preserve">Engineer solutions requiring &lt;$15k/unit (vs. industry averages of $80k+) using recycled materials from Miami’s construction waste streams, targeting rapid deployment during hurricane season.</w:t>
      </w:r>
    </w:p>
    <w:bookmarkEnd w:id="23"/>
    <w:bookmarkStart w:id="24" w:name="methodology"/>
    <w:p>
      <w:pPr>
        <w:pStyle w:val="Heading2"/>
      </w:pPr>
      <w:r>
        <w:t xml:space="preserve">Methodology</w:t>
      </w:r>
    </w:p>
    <w:p>
      <w:pPr>
        <w:pStyle w:val="FirstParagraph"/>
      </w:pPr>
      <w:r>
        <w:t xml:space="preserve">This mixed-methods research employs three parallel tracks:</w:t>
      </w:r>
    </w:p>
    <w:p>
      <w:pPr>
        <w:numPr>
          <w:ilvl w:val="0"/>
          <w:numId w:val="1002"/>
        </w:numPr>
        <w:pStyle w:val="Compact"/>
      </w:pPr>
      <w:r>
        <w:rPr>
          <w:bCs/>
          <w:b/>
        </w:rPr>
        <w:t xml:space="preserve">Field Prototyping (Months 1-8):</w:t>
      </w:r>
      <w:r>
        <w:t xml:space="preserve"> </w:t>
      </w:r>
      <w:r>
        <w:t xml:space="preserve">Collaborate with Miami-Dade County’s Office of Resilience to test drone-based coastal erosion sensors at Crandon Park. Robotics Engineer interns will build saltwater-resistant housings using 3D-printed recycled plastics from local recycling facilities.</w:t>
      </w:r>
    </w:p>
    <w:p>
      <w:pPr>
        <w:numPr>
          <w:ilvl w:val="0"/>
          <w:numId w:val="1002"/>
        </w:numPr>
        <w:pStyle w:val="Compact"/>
      </w:pPr>
      <w:r>
        <w:rPr>
          <w:bCs/>
          <w:b/>
        </w:rPr>
        <w:t xml:space="preserve">Stakeholder Co-Design Workshops (Months 3-10):</w:t>
      </w:r>
      <w:r>
        <w:t xml:space="preserve"> </w:t>
      </w:r>
      <w:r>
        <w:t xml:space="preserve">Facilitate sessions with Miami Beach tourism boards, neighborhood associations (e.g., Edgewater Community Coalition), and South Florida Water Management District to embed cultural considerations into robot navigation algorithms. This ensures robots avoid disrupting cultural events like Calle Ocho Festival.</w:t>
      </w:r>
    </w:p>
    <w:p>
      <w:pPr>
        <w:numPr>
          <w:ilvl w:val="0"/>
          <w:numId w:val="1002"/>
        </w:numPr>
        <w:pStyle w:val="Compact"/>
      </w:pPr>
      <w:r>
        <w:rPr>
          <w:bCs/>
          <w:b/>
        </w:rPr>
        <w:t xml:space="preserve">Economic Viability Modeling (Months 6-12):</w:t>
      </w:r>
      <w:r>
        <w:t xml:space="preserve"> </w:t>
      </w:r>
      <w:r>
        <w:t xml:space="preserve">Use Miami’s municipal budget data to create ROI projections for robotics deployment, comparing costs against current hurricane recovery expenditures (e.g., $38M/year for manual debris clearance).</w:t>
      </w:r>
    </w:p>
    <w:bookmarkEnd w:id="24"/>
    <w:bookmarkStart w:id="25" w:name="expected-outcomes-and-impact"/>
    <w:p>
      <w:pPr>
        <w:pStyle w:val="Heading2"/>
      </w:pPr>
      <w:r>
        <w:t xml:space="preserve">Expected Outcomes and Impact</w:t>
      </w:r>
    </w:p>
    <w:p>
      <w:pPr>
        <w:pStyle w:val="FirstParagraph"/>
      </w:pPr>
      <w:r>
        <w:t xml:space="preserve">This research will deliver:</w:t>
      </w:r>
    </w:p>
    <w:p>
      <w:pPr>
        <w:numPr>
          <w:ilvl w:val="0"/>
          <w:numId w:val="1003"/>
        </w:numPr>
        <w:pStyle w:val="Compact"/>
      </w:pPr>
      <w:r>
        <w:t xml:space="preserve">A Miami-specific Robotics Engineer Certification Framework for local workforce development, addressing the projected 15,000 robotics job deficit in South Florida by 2030 (U.S. Bureau of Labor Statistics).</w:t>
      </w:r>
    </w:p>
    <w:p>
      <w:pPr>
        <w:numPr>
          <w:ilvl w:val="0"/>
          <w:numId w:val="1003"/>
        </w:numPr>
        <w:pStyle w:val="Compact"/>
      </w:pPr>
      <w:r>
        <w:t xml:space="preserve">A deployable "Hurricane Response Robot Kit" with open-source hardware designs, enabling rapid city-wide replication during emergency declarations.</w:t>
      </w:r>
    </w:p>
    <w:p>
      <w:pPr>
        <w:numPr>
          <w:ilvl w:val="0"/>
          <w:numId w:val="1003"/>
        </w:numPr>
        <w:pStyle w:val="Compact"/>
      </w:pPr>
      <w:r>
        <w:t xml:space="preserve">Policy guidelines for integrating Robotics Engineer solutions into Miami’s Climate Action Plan, directly influencing the 2025 Comprehensive Plan update.</w:t>
      </w:r>
    </w:p>
    <w:p>
      <w:pPr>
        <w:pStyle w:val="FirstParagraph"/>
      </w:pPr>
      <w:r>
        <w:t xml:space="preserve">The societal impact extends beyond efficiency: by positioning Robotics Engineers as community partners (not just tech providers), this work tackles Miami’s equity challenges. For example, robots deployed in Wynwood can assist elderly residents during heatwaves without displacing human workers—a critical consideration in a city where tourism-driven gentrification strains labor markets.</w:t>
      </w:r>
    </w:p>
    <w:bookmarkEnd w:id="25"/>
    <w:bookmarkStart w:id="26" w:name="timeline-and-feasibility"/>
    <w:p>
      <w:pPr>
        <w:pStyle w:val="Heading2"/>
      </w:pPr>
      <w:r>
        <w:t xml:space="preserve">Timeline and Feasibility</w:t>
      </w:r>
    </w:p>
    <w:p>
      <w:pPr>
        <w:pStyle w:val="FirstParagraph"/>
      </w:pPr>
      <w:r>
        <w:t xml:space="preserve">Phase</w:t>
      </w:r>
    </w:p>
    <w:p>
      <w:pPr>
        <w:pStyle w:val="BodyText"/>
      </w:pPr>
      <w:r>
        <w:t xml:space="preserve">Duration</w:t>
      </w:r>
    </w:p>
    <w:p>
      <w:pPr>
        <w:pStyle w:val="BodyText"/>
      </w:pPr>
      <w:r>
        <w:t xml:space="preserve">Miami-Specific Milestones</w:t>
      </w:r>
    </w:p>
    <w:p>
      <w:pPr>
        <w:pStyle w:val="BodyText"/>
      </w:pPr>
      <w:r>
        <w:t xml:space="preserve">Contextual Research</w:t>
      </w:r>
    </w:p>
    <w:p>
      <w:pPr>
        <w:pStyle w:val="BodyText"/>
      </w:pPr>
      <w:r>
        <w:t xml:space="preserve">Months 1-3</w:t>
      </w:r>
    </w:p>
    <w:p>
      <w:pPr>
        <w:pStyle w:val="BodyText"/>
      </w:pPr>
      <w:r>
        <w:t xml:space="preserve">Cultural immersion in Miami neighborhoods; analysis of Miami-Dade emergency response logs (2019-2023)</w:t>
      </w:r>
    </w:p>
    <w:p>
      <w:pPr>
        <w:pStyle w:val="BodyText"/>
      </w:pPr>
      <w:r>
        <w:t xml:space="preserve">Hardware Development</w:t>
      </w:r>
    </w:p>
    <w:p>
      <w:pPr>
        <w:pStyle w:val="BodyText"/>
      </w:pPr>
      <w:r>
        <w:t xml:space="preserve">Months 4-7</w:t>
      </w:r>
    </w:p>
    <w:p>
      <w:pPr>
        <w:pStyle w:val="BodyText"/>
      </w:pPr>
      <w:r>
        <w:t xml:space="preserve">Demonstration at PortMiami’s marine robotics lab; testing corrosion resistance using Miami Bay saltwater</w:t>
      </w:r>
    </w:p>
    <w:p>
      <w:pPr>
        <w:pStyle w:val="BodyText"/>
      </w:pPr>
      <w:r>
        <w:t xml:space="preserve">Community Validation</w:t>
      </w:r>
    </w:p>
    <w:p>
      <w:pPr>
        <w:pStyle w:val="BodyText"/>
      </w:pPr>
      <w:r>
        <w:t xml:space="preserve">&lt; td&gt;Months 8-10</w:t>
      </w:r>
    </w:p>
    <w:p>
      <w:pPr>
        <w:pStyle w:val="BodyText"/>
      </w:pPr>
      <w:r>
        <w:t xml:space="preserve">Policy Integration</w:t>
      </w:r>
    </w:p>
    <w:p>
      <w:pPr>
        <w:pStyle w:val="BodyText"/>
      </w:pPr>
      <w:r>
        <w:t xml:space="preserve">Months 11-12</w:t>
      </w:r>
    </w:p>
    <w:p>
      <w:pPr>
        <w:pStyle w:val="BodyText"/>
      </w:pPr>
      <w:r>
        <w:t xml:space="preserve">Presentation to Miami City Commission’s Sustainability Committee; draft ordinance for robotics deployment guidelines</w:t>
      </w:r>
    </w:p>
    <w:bookmarkEnd w:id="26"/>
    <w:bookmarkStart w:id="27" w:name="Xaffa50b97d75d395be1e25a78fd355e93ba66d4"/>
    <w:p>
      <w:pPr>
        <w:pStyle w:val="Heading2"/>
      </w:pPr>
      <w:r>
        <w:t xml:space="preserve">Conclusion: The Critical Role of the Robotics Engineer in United States Miami</w:t>
      </w:r>
    </w:p>
    <w:p>
      <w:pPr>
        <w:pStyle w:val="FirstParagraph"/>
      </w:pPr>
      <w:r>
        <w:t xml:space="preserve">This Thesis Proposal establishes that a successful Robotics Engineer in United States Miami cannot operate in isolation. It demands fluency in coastal engineering, hurricane science, and community engagement—making this research indispensable for Miami’s survival as a 21st-century city. By centering the Robotics Engineer as the linchpin between climate science and civic action, this project pioneers a model applicable to all Gulf Coast cities facing similar threats. The proposed framework ensures that robotics innovation serves Miami’s most vulnerable populations first, transforming abstract technological potential into tangible resilience for 2.7 million residents and 50+ million annual tourists. As the city accelerates its $1 billion sea-level rise adaptation program (Miami-Dade County, 2023), this research provides not just a technical roadmap but a civic mandate for how Robotics Engineers can redefine urban infrastructure in America's climate frontline.</w:t>
      </w:r>
    </w:p>
    <w:bookmarkEnd w:id="27"/>
    <w:bookmarkStart w:id="28" w:name="references"/>
    <w:p>
      <w:pPr>
        <w:pStyle w:val="Heading2"/>
      </w:pPr>
      <w:r>
        <w:t xml:space="preserve">References</w:t>
      </w:r>
    </w:p>
    <w:p>
      <w:pPr>
        <w:numPr>
          <w:ilvl w:val="0"/>
          <w:numId w:val="1004"/>
        </w:numPr>
        <w:pStyle w:val="Compact"/>
      </w:pPr>
      <w:r>
        <w:t xml:space="preserve">National Oceanic and Atmospheric Administration. (2023). *Hurricane Damage Costs in Southeastern U.S.*</w:t>
      </w:r>
    </w:p>
    <w:p>
      <w:pPr>
        <w:numPr>
          <w:ilvl w:val="0"/>
          <w:numId w:val="1004"/>
        </w:numPr>
        <w:pStyle w:val="Compact"/>
      </w:pPr>
      <w:r>
        <w:t xml:space="preserve">Miami-Dade County Office of Resilience. (2023). *Climate Action Plan 2050*.</w:t>
      </w:r>
    </w:p>
    <w:p>
      <w:pPr>
        <w:numPr>
          <w:ilvl w:val="0"/>
          <w:numId w:val="1004"/>
        </w:numPr>
        <w:pStyle w:val="Compact"/>
      </w:pPr>
      <w:r>
        <w:t xml:space="preserve">U.S. Bureau of Labor Statistics. (2024). *Occupational Outlook Handbook: Robotics Engineers*.</w:t>
      </w:r>
    </w:p>
    <w:p>
      <w:pPr>
        <w:numPr>
          <w:ilvl w:val="0"/>
          <w:numId w:val="1004"/>
        </w:numPr>
        <w:pStyle w:val="Compact"/>
      </w:pPr>
      <w:r>
        <w:t xml:space="preserve">Rogers, D., et al. (2021). "Urban Robotics for Climate Adaptation." *Journal of Urban Technology*, 28(3), 112-130.</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Robotics Engineering in United States Miami</dc:title>
  <dc:creator/>
  <dc:language>en</dc:language>
  <cp:keywords/>
  <dcterms:created xsi:type="dcterms:W3CDTF">2026-07-19T06:25:25Z</dcterms:created>
  <dcterms:modified xsi:type="dcterms:W3CDTF">2026-07-19T06:25:25Z</dcterms:modified>
</cp:coreProperties>
</file>

<file path=docProps/custom.xml><?xml version="1.0" encoding="utf-8"?>
<Properties xmlns="http://schemas.openxmlformats.org/officeDocument/2006/custom-properties" xmlns:vt="http://schemas.openxmlformats.org/officeDocument/2006/docPropsVTypes"/>
</file>