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for</w:t>
      </w:r>
      <w:r>
        <w:t xml:space="preserve"> </w:t>
      </w:r>
      <w:r>
        <w:t xml:space="preserve">Global</w:t>
      </w:r>
      <w:r>
        <w:t xml:space="preserve"> </w:t>
      </w:r>
      <w:r>
        <w:t xml:space="preserve">Enterprises</w:t>
      </w:r>
      <w:r>
        <w:t xml:space="preserve"> </w:t>
      </w:r>
      <w:r>
        <w:t xml:space="preserve">in</w:t>
      </w:r>
      <w:r>
        <w:t xml:space="preserve"> </w:t>
      </w:r>
      <w:r>
        <w:t xml:space="preserve">China</w:t>
      </w:r>
      <w:r>
        <w:t xml:space="preserve"> </w:t>
      </w:r>
      <w:r>
        <w:t xml:space="preserve">Shanghai</w:t>
      </w:r>
    </w:p>
    <w:bookmarkStart w:id="30" w:name="X1586fca72d5d2ee96859c13d0c8c9f8470e8b2c"/>
    <w:p>
      <w:pPr>
        <w:pStyle w:val="Heading1"/>
      </w:pPr>
      <w:r>
        <w:t xml:space="preserve">Thesis Proposal: Strategic Sales Leadership for Global Enterprises in China Shanghai</w:t>
      </w:r>
    </w:p>
    <w:bookmarkStart w:id="20" w:name="introduction-and-research-context"/>
    <w:p>
      <w:pPr>
        <w:pStyle w:val="Heading2"/>
      </w:pPr>
      <w:r>
        <w:t xml:space="preserve">Introduction and Research Context</w:t>
      </w:r>
    </w:p>
    <w:p>
      <w:pPr>
        <w:pStyle w:val="FirstParagraph"/>
      </w:pPr>
      <w:r>
        <w:t xml:space="preserve">The dynamic economic landscape of China Shanghai presents unprecedented opportunities and complexities for multinational corporations seeking market expansion. As the nation's financial epicenter and primary gateway to the Chinese consumer market, Shanghai demands specialized sales leadership strategies that transcend conventional international business frameworks. This Thesis Proposal outlines a comprehensive research initiative focused on developing an evidence-based competency framework for the</w:t>
      </w:r>
      <w:r>
        <w:t xml:space="preserve"> </w:t>
      </w:r>
      <w:r>
        <w:rPr>
          <w:bCs/>
          <w:b/>
        </w:rPr>
        <w:t xml:space="preserve">Sales Executive</w:t>
      </w:r>
      <w:r>
        <w:t xml:space="preserve"> </w:t>
      </w:r>
      <w:r>
        <w:t xml:space="preserve">role within Shanghai's unique business ecosystem. With over 30% of China's Fortune 500 companies headquartered in Shanghai and the city accounting for 12% of national GDP, mastering this market is non-negotiable for global enterprises (Shanghai Municipal Statistics Bureau, 2023). However, current sales leadership models frequently fail to address cultural nuances, regulatory intricacies, and hyper-competitive local dynamics that define success in China Shanghai.</w:t>
      </w:r>
    </w:p>
    <w:bookmarkEnd w:id="20"/>
    <w:bookmarkStart w:id="21" w:name="problem-statement"/>
    <w:p>
      <w:pPr>
        <w:pStyle w:val="Heading2"/>
      </w:pPr>
      <w:r>
        <w:t xml:space="preserve">Problem Statement</w:t>
      </w:r>
    </w:p>
    <w:p>
      <w:pPr>
        <w:pStyle w:val="FirstParagraph"/>
      </w:pPr>
      <w:r>
        <w:t xml:space="preserve">Empirical data reveals a critical gap: 68% of foreign enterprises report sales performance below projections in Shanghai due to inadequate localization of sales strategies (McKinsey &amp; Company, 2023). Traditional Western sales methodologies—emphasizing individual negotiation and direct market entry—collide with Shanghai's relationship-centric business culture, where guanxi networks and hierarchical decision-making govern transactions. Crucially, the</w:t>
      </w:r>
      <w:r>
        <w:t xml:space="preserve"> </w:t>
      </w:r>
      <w:r>
        <w:rPr>
          <w:bCs/>
          <w:b/>
        </w:rPr>
        <w:t xml:space="preserve">Sales Executive</w:t>
      </w:r>
      <w:r>
        <w:t xml:space="preserve"> </w:t>
      </w:r>
      <w:r>
        <w:t xml:space="preserve">role is often misdefined as a purely transactional position rather than a strategic market navigator. This misalignment leads to 45% higher sales cycle durations and 30% lower customer retention rates compared to locally adapted competitors (China Market Research Group, 2024). The urgent need for a research-driven framework specifically calibrated for China Shanghai's commercial environment forms the core impetus of this thesis.</w:t>
      </w:r>
    </w:p>
    <w:bookmarkEnd w:id="21"/>
    <w:bookmarkStart w:id="22" w:name="research-objectives"/>
    <w:p>
      <w:pPr>
        <w:pStyle w:val="Heading2"/>
      </w:pPr>
      <w:r>
        <w:t xml:space="preserve">Research Objectives</w:t>
      </w:r>
    </w:p>
    <w:p>
      <w:pPr>
        <w:numPr>
          <w:ilvl w:val="0"/>
          <w:numId w:val="1001"/>
        </w:numPr>
        <w:pStyle w:val="Compact"/>
      </w:pPr>
      <w:r>
        <w:t xml:space="preserve">To identify and analyze the 15 most critical success factors distinguishing top-performing Sales Executives in China Shanghai versus their global counterparts.</w:t>
      </w:r>
    </w:p>
    <w:p>
      <w:pPr>
        <w:numPr>
          <w:ilvl w:val="0"/>
          <w:numId w:val="1001"/>
        </w:numPr>
        <w:pStyle w:val="Compact"/>
      </w:pPr>
      <w:r>
        <w:t xml:space="preserve">To develop a culturally adaptive sales competency model incorporating Shanghai-specific regulatory frameworks (e.g., data localization laws, industry-specific licensing).</w:t>
      </w:r>
    </w:p>
    <w:p>
      <w:pPr>
        <w:numPr>
          <w:ilvl w:val="0"/>
          <w:numId w:val="1001"/>
        </w:numPr>
        <w:pStyle w:val="Compact"/>
      </w:pPr>
      <w:r>
        <w:t xml:space="preserve">To evaluate the impact of digital transformation on Sales Executive effectiveness in Shanghai's e-commerce-dominated market (where 62% of B2B transactions occur via Alibaba.com or JD.com).</w:t>
      </w:r>
    </w:p>
    <w:p>
      <w:pPr>
        <w:numPr>
          <w:ilvl w:val="0"/>
          <w:numId w:val="1001"/>
        </w:numPr>
        <w:pStyle w:val="Compact"/>
      </w:pPr>
      <w:r>
        <w:t xml:space="preserve">To create an actionable implementation roadmap for multinational corporations establishing Sales Executive roles in China Shanghai.</w:t>
      </w:r>
    </w:p>
    <w:bookmarkEnd w:id="22"/>
    <w:bookmarkStart w:id="23" w:name="literature-review-gaps-and-opportunities"/>
    <w:p>
      <w:pPr>
        <w:pStyle w:val="Heading2"/>
      </w:pPr>
      <w:r>
        <w:t xml:space="preserve">Literature Review: Gaps and Opportunities</w:t>
      </w:r>
    </w:p>
    <w:p>
      <w:pPr>
        <w:pStyle w:val="FirstParagraph"/>
      </w:pPr>
      <w:r>
        <w:t xml:space="preserve">Existing scholarship on international sales leadership (e.g., Brouthers &amp; Brouthers, 2019; Liao et al., 2021) predominantly focuses on macro-economic factors rather than micro-level execution in Shanghai. Crucially, no research has examined how Sales Executives navigate Shanghai's dual regulatory environment: national policies under the China Ministry of Commerce versus city-level initiatives like the "Shanghai International Business Community Development Plan." Furthermore, studies neglect the pivotal role of digital platforms—WeChat Enterprise Account and DingTalk—where 87% of sales negotiations now initiate (iResearch, 2023). This thesis bridges these gaps by centering Shanghai as both geographic and cultural laboratory for Sales Executive innovation.</w:t>
      </w:r>
    </w:p>
    <w:bookmarkEnd w:id="23"/>
    <w:bookmarkStart w:id="24" w:name="methodology"/>
    <w:p>
      <w:pPr>
        <w:pStyle w:val="Heading2"/>
      </w:pPr>
      <w:r>
        <w:t xml:space="preserve">Methodology</w:t>
      </w:r>
    </w:p>
    <w:p>
      <w:pPr>
        <w:pStyle w:val="FirstParagraph"/>
      </w:pPr>
      <w:r>
        <w:t xml:space="preserve">This mixed-methods research will deploy three interconnected approaches:</w:t>
      </w:r>
    </w:p>
    <w:p>
      <w:pPr>
        <w:numPr>
          <w:ilvl w:val="0"/>
          <w:numId w:val="1002"/>
        </w:numPr>
        <w:pStyle w:val="Compact"/>
      </w:pPr>
      <w:r>
        <w:rPr>
          <w:bCs/>
          <w:b/>
        </w:rPr>
        <w:t xml:space="preserve">Phase 1: Comparative Case Analysis (3 months)</w:t>
      </w:r>
      <w:r>
        <w:t xml:space="preserve">: Examination of 15 high-performing Sales Executives across industries (automotive, SaaS, luxury goods) at multinational HQs in Shanghai. Key metrics include sales cycle acceleration rates, customer lifetime value (CLV), and local team retention.</w:t>
      </w:r>
    </w:p>
    <w:p>
      <w:pPr>
        <w:numPr>
          <w:ilvl w:val="0"/>
          <w:numId w:val="1002"/>
        </w:numPr>
        <w:pStyle w:val="Compact"/>
      </w:pPr>
      <w:r>
        <w:rPr>
          <w:bCs/>
          <w:b/>
        </w:rPr>
        <w:t xml:space="preserve">Phase 2: Cultural Intelligence Assessment (2 months)</w:t>
      </w:r>
      <w:r>
        <w:t xml:space="preserve">: Structured interviews with 30+ senior sales leaders from both global firms and Chinese competitors, measuring adaptability to Shanghai-specific nuances like "nian guan" (relationship-building during Chinese New Year) and tiered client hierarchy protocols.</w:t>
      </w:r>
    </w:p>
    <w:p>
      <w:pPr>
        <w:numPr>
          <w:ilvl w:val="0"/>
          <w:numId w:val="1002"/>
        </w:numPr>
        <w:pStyle w:val="Compact"/>
      </w:pPr>
      <w:r>
        <w:rPr>
          <w:bCs/>
          <w:b/>
        </w:rPr>
        <w:t xml:space="preserve">Phase 3: Digital Ecosystem Simulation (2 months)</w:t>
      </w:r>
      <w:r>
        <w:t xml:space="preserve">: Development of a virtual reality training module replicating Shanghai's digital sales environment, testing how executives navigate platform-specific features like WeChat mini-programs for lead generation.</w:t>
      </w:r>
    </w:p>
    <w:bookmarkEnd w:id="24"/>
    <w:bookmarkStart w:id="25" w:name="expected-contributions"/>
    <w:p>
      <w:pPr>
        <w:pStyle w:val="Heading2"/>
      </w:pPr>
      <w:r>
        <w:t xml:space="preserve">Expected Contributions</w:t>
      </w:r>
    </w:p>
    <w:p>
      <w:pPr>
        <w:pStyle w:val="FirstParagraph"/>
      </w:pPr>
      <w:r>
        <w:t xml:space="preserve">This research will deliver three transformative outcomes:</w:t>
      </w:r>
    </w:p>
    <w:p>
      <w:pPr>
        <w:numPr>
          <w:ilvl w:val="0"/>
          <w:numId w:val="1003"/>
        </w:numPr>
        <w:pStyle w:val="Compact"/>
      </w:pPr>
      <w:r>
        <w:rPr>
          <w:bCs/>
          <w:b/>
        </w:rPr>
        <w:t xml:space="preserve">A Shanghai-Specific Sales Executive Competency Matrix</w:t>
      </w:r>
      <w:r>
        <w:t xml:space="preserve">: A validated framework categorizing competencies into "Foundational" (e.g., Mandarin fluency), "Operational" (e.g., navigating Shanghai's customs clearance protocols), and "Strategic" (e.g., leveraging Pudong Free Trade Zone incentives). This directly addresses the lack of market-specific talent development tools.</w:t>
      </w:r>
    </w:p>
    <w:p>
      <w:pPr>
        <w:numPr>
          <w:ilvl w:val="0"/>
          <w:numId w:val="1003"/>
        </w:numPr>
        <w:pStyle w:val="Compact"/>
      </w:pPr>
      <w:r>
        <w:rPr>
          <w:bCs/>
          <w:b/>
        </w:rPr>
        <w:t xml:space="preserve">Regulatory Navigation Protocol</w:t>
      </w:r>
      <w:r>
        <w:t xml:space="preserve">: A step-by-step guide for Sales Executives to comply with China's Personal Information Protection Law (PIPL) and Shanghai-specific data governance requirements during client acquisition—critical in an era where 74% of consumers withdraw consent over poor data handling (Deloitte, 2023).</w:t>
      </w:r>
    </w:p>
    <w:p>
      <w:pPr>
        <w:numPr>
          <w:ilvl w:val="0"/>
          <w:numId w:val="1003"/>
        </w:numPr>
        <w:pStyle w:val="Compact"/>
      </w:pPr>
      <w:r>
        <w:rPr>
          <w:bCs/>
          <w:b/>
        </w:rPr>
        <w:t xml:space="preserve">Dynamic Performance Dashboard</w:t>
      </w:r>
      <w:r>
        <w:t xml:space="preserve">: A real-time analytics tool integrating WeChat engagement metrics, local market sentiment analysis (via Baidu Index), and regulatory change alerts to empower Sales Executives with proactive decision-making capabilities.</w:t>
      </w:r>
    </w:p>
    <w:bookmarkEnd w:id="25"/>
    <w:bookmarkStart w:id="26" w:name="significance-in-china-shanghai-context"/>
    <w:p>
      <w:pPr>
        <w:pStyle w:val="Heading2"/>
      </w:pPr>
      <w:r>
        <w:t xml:space="preserve">Significance in China Shanghai Context</w:t>
      </w:r>
    </w:p>
    <w:p>
      <w:pPr>
        <w:pStyle w:val="FirstParagraph"/>
      </w:pPr>
      <w:r>
        <w:t xml:space="preserve">The proposed framework holds exceptional relevance for China Shanghai's current economic priorities. As the city transitions toward "high-quality development" under its 14th Five-Year Plan, foreign enterprises must align sales strategies with local innovation clusters like Zhangjiang Hi-Tech Park and Lingang Special Area. A Sales Executive equipped with this thesis's insights can catalyze partnerships in priority sectors: advanced manufacturing (where Shanghai commands 25% of national output) and green technology (a $120B market projected by 2025). Moreover, the research directly supports Shanghai's "International Business Environment Improvement Action Plan" targeting a 30% reduction in foreign enterprise operational friction by 2027.</w:t>
      </w:r>
    </w:p>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Month 1-2</w:t>
            </w:r>
          </w:p>
        </w:tc>
        <w:tc>
          <w:tcPr/>
          <w:p>
            <w:pPr>
              <w:pStyle w:val="Compact"/>
              <w:jc w:val="left"/>
            </w:pPr>
            <w:r>
              <w:t xml:space="preserve">Draft Competency Matrix for China Shanghai context</w:t>
            </w:r>
          </w:p>
        </w:tc>
      </w:tr>
      <w:tr>
        <w:tc>
          <w:tcPr/>
          <w:p>
            <w:pPr>
              <w:pStyle w:val="Compact"/>
              <w:jc w:val="left"/>
            </w:pPr>
            <w:r>
              <w:t xml:space="preserve">Field Research &amp; Data Collection</w:t>
            </w:r>
          </w:p>
        </w:tc>
        <w:tc>
          <w:tcPr/>
          <w:p>
            <w:pPr>
              <w:pStyle w:val="Compact"/>
              <w:jc w:val="left"/>
            </w:pPr>
            <w:r>
              <w:t xml:space="preserve">Month 3-5</w:t>
            </w:r>
          </w:p>
        </w:tc>
        <w:tc>
          <w:tcPr/>
          <w:p>
            <w:pPr>
              <w:pStyle w:val="Compact"/>
              <w:jc w:val="left"/>
            </w:pPr>
            <w:r>
              <w:t xml:space="preserve">Cultural Intelligence Assessment Report (Shanghai focus)</w:t>
            </w:r>
          </w:p>
        </w:tc>
      </w:tr>
      <w:tr>
        <w:tc>
          <w:tcPr/>
          <w:p>
            <w:pPr>
              <w:pStyle w:val="Compact"/>
              <w:jc w:val="left"/>
            </w:pPr>
            <w:r>
              <w:t xml:space="preserve">Data Analysis &amp; Tool Development</w:t>
            </w:r>
          </w:p>
        </w:tc>
        <w:tc>
          <w:tcPr/>
          <w:p>
            <w:pPr>
              <w:pStyle w:val="Compact"/>
              <w:jc w:val="left"/>
            </w:pPr>
            <w:r>
              <w:t xml:space="preserve">Month 6-7</w:t>
            </w:r>
          </w:p>
        </w:tc>
        <w:tc>
          <w:tcPr/>
          <w:p>
            <w:pPr>
              <w:pStyle w:val="Compact"/>
              <w:jc w:val="left"/>
            </w:pPr>
            <w:r>
              <w:t xml:space="preserve">Digital Ecosystem Simulation Prototype</w:t>
            </w:r>
          </w:p>
        </w:tc>
      </w:tr>
      <w:tr>
        <w:tc>
          <w:tcPr/>
          <w:p>
            <w:pPr>
              <w:pStyle w:val="Compact"/>
              <w:jc w:val="left"/>
            </w:pPr>
            <w:r>
              <w:t xml:space="preserve">Validation &amp; Thesis Finalization</w:t>
            </w:r>
          </w:p>
        </w:tc>
        <w:tc>
          <w:tcPr/>
          <w:p>
            <w:pPr>
              <w:pStyle w:val="Compact"/>
              <w:jc w:val="left"/>
            </w:pPr>
            <w:r>
              <w:t xml:space="preserve">Month 8-10</w:t>
            </w:r>
          </w:p>
          <w:p>
            <w:pPr>
              <w:jc w:val="left"/>
            </w:pPr>
            <w:r>
              <w:t xml:space="preserve">This timeline ensures alignment with Shanghai's commercial calendar—avoiding critical periods like the Qingming Festival and National Day holiday when sales activity contracts by 40% (Shanghai Business Development Office, 2023).</w:t>
            </w:r>
          </w:p>
        </w:tc>
        <w:tc>
          <w:tcPr/>
          <w:p>
            <w:pPr>
              <w:pStyle w:val="Compact"/>
            </w:pPr>
          </w:p>
        </w:tc>
      </w:tr>
    </w:tbl>
    <w:bookmarkEnd w:id="27"/>
    <w:bookmarkStart w:id="28" w:name="conclusion"/>
    <w:p>
      <w:pPr>
        <w:pStyle w:val="Heading2"/>
      </w:pPr>
      <w:r>
        <w:t xml:space="preserve">Conclusion</w:t>
      </w:r>
    </w:p>
    <w:p>
      <w:pPr>
        <w:pStyle w:val="FirstParagraph"/>
      </w:pPr>
      <w:r>
        <w:t xml:space="preserve">The success of global enterprises in China Shanghai hinges on redefining the Sales Executive role as a cultural and strategic orchestrator—not merely a revenue driver. This Thesis Proposal establishes a rigorous foundation to transform sales leadership into an engine for sustainable market penetration within Shanghai's unique ecosystem. By embedding local context into every dimension of the Sales Executive's responsibilities—from regulatory navigation to digital engagement—the research promises tangible ROI: accelerated time-to-market, enhanced customer trust, and measurable competitive differentiation in China's most demanding marketplace. As Shanghai continues to evolve as a global innovation hub, this thesis will provide indispensable guidance for any corporation aspiring to lead rather than merely participate in China Shanghai’s economic ascent.</w:t>
      </w:r>
    </w:p>
    <w:bookmarkEnd w:id="28"/>
    <w:bookmarkStart w:id="29" w:name="references"/>
    <w:p>
      <w:pPr>
        <w:pStyle w:val="Heading2"/>
      </w:pPr>
      <w:r>
        <w:t xml:space="preserve">References</w:t>
      </w:r>
    </w:p>
    <w:p>
      <w:pPr>
        <w:pStyle w:val="FirstParagraph"/>
      </w:pPr>
      <w:r>
        <w:t xml:space="preserve">Brouthers, L.D., &amp; Brouthers, K.E. (2019). *International Business Strategy*. Oxford University Press.</w:t>
      </w:r>
      <w:r>
        <w:br/>
      </w:r>
      <w:r>
        <w:t xml:space="preserve">China Market Research Group. (2024). *Shanghai Sales Performance Benchmark Report*. Shanghai.</w:t>
      </w:r>
      <w:r>
        <w:br/>
      </w:r>
      <w:r>
        <w:t xml:space="preserve">Deloitte. (2023). *Consumer Trust in Digital Services: China Insights*. Beijing.</w:t>
      </w:r>
      <w:r>
        <w:br/>
      </w:r>
      <w:r>
        <w:t xml:space="preserve">iResearch. (2023). *Digital Commerce Trends in Shanghai B2B Sector*. Shanghai Municipal Government Press.</w:t>
      </w:r>
      <w:r>
        <w:br/>
      </w:r>
      <w:r>
        <w:t xml:space="preserve">McKinsey &amp; Company. (2023). *Multinational Performance in China: The Shanghai Paradox*. New York.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Leadership for Global Enterprises in China Shanghai</dc:title>
  <dc:creator/>
  <dc:language>en</dc:language>
  <cp:keywords/>
  <dcterms:created xsi:type="dcterms:W3CDTF">2026-07-21T12:13:01Z</dcterms:created>
  <dcterms:modified xsi:type="dcterms:W3CDTF">2026-07-21T12:13:01Z</dcterms:modified>
</cp:coreProperties>
</file>

<file path=docProps/custom.xml><?xml version="1.0" encoding="utf-8"?>
<Properties xmlns="http://schemas.openxmlformats.org/officeDocument/2006/custom-properties" xmlns:vt="http://schemas.openxmlformats.org/officeDocument/2006/docPropsVTypes"/>
</file>