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Practices</w:t>
      </w:r>
      <w:r>
        <w:t xml:space="preserve"> </w:t>
      </w:r>
      <w:r>
        <w:t xml:space="preserve">in</w:t>
      </w:r>
      <w:r>
        <w:t xml:space="preserve"> </w:t>
      </w:r>
      <w:r>
        <w:t xml:space="preserve">Melbourne,</w:t>
      </w:r>
      <w:r>
        <w:t xml:space="preserve"> </w:t>
      </w:r>
      <w:r>
        <w:t xml:space="preserve">Australia</w:t>
      </w:r>
    </w:p>
    <w:bookmarkStart w:id="29" w:name="X9093b3620a03a539ae07a0b96414a73453c29da"/>
    <w:p>
      <w:pPr>
        <w:pStyle w:val="Heading1"/>
      </w:pPr>
      <w:r>
        <w:t xml:space="preserve">Thesis Proposal: Enhancing Student Wellbeing through School Counselor Practices in Melbourne, Australia</w:t>
      </w:r>
    </w:p>
    <w:bookmarkStart w:id="20" w:name="introduction-and-background"/>
    <w:p>
      <w:pPr>
        <w:pStyle w:val="Heading2"/>
      </w:pPr>
      <w:r>
        <w:t xml:space="preserve">1. Introduction and Background</w:t>
      </w:r>
    </w:p>
    <w:p>
      <w:pPr>
        <w:pStyle w:val="FirstParagraph"/>
      </w:pPr>
      <w:r>
        <w:t xml:space="preserve">In the dynamic educational landscape of</w:t>
      </w:r>
      <w:r>
        <w:t xml:space="preserve"> </w:t>
      </w:r>
      <w:r>
        <w:rPr>
          <w:bCs/>
          <w:b/>
        </w:rPr>
        <w:t xml:space="preserve">Australia Melbourne</w:t>
      </w:r>
      <w:r>
        <w:t xml:space="preserve">, school counselors play a pivotal role in addressing the complex wellbeing needs of students. As Melbourne's diverse student population navigates academic pressures, social challenges, and socio-economic disparities, the demand for effective counseling services has intensified. This thesis proposes to investigate the efficacy of contemporary school counselor practices within Victorian government and independent schools across Melbourne. With Australia's national education strategy emphasizing holistic student development (Australian Government Department of Education, 2021), this research directly responds to a critical gap in localized evidence regarding how school counselors operationalize wellbeing frameworks in metropolitan contexts. The proposed study will examine whether current counseling models align with Melbourne-specific demographic needs, including its high proportion of culturally and linguistically diverse students (35% identifying as non-English speaking backgrounds) and rising mental health concerns among adolescents (Beyond Blue, 2023).</w:t>
      </w:r>
    </w:p>
    <w:bookmarkEnd w:id="20"/>
    <w:bookmarkStart w:id="21" w:name="problem-statement"/>
    <w:p>
      <w:pPr>
        <w:pStyle w:val="Heading2"/>
      </w:pPr>
      <w:r>
        <w:t xml:space="preserve">2. Problem Statement</w:t>
      </w:r>
    </w:p>
    <w:p>
      <w:pPr>
        <w:pStyle w:val="FirstParagraph"/>
      </w:pPr>
      <w:r>
        <w:t xml:space="preserve">Despite the Australian Psychological Society's (APS) recognition of school counselors as essential to student success, Melbourne schools face significant challenges in counselor implementation. Current data reveals a national average ratio of 1:1,500 students per counselor—far exceeding the recommended 1:250 by the American School Counselor Association (ASCA), with Melbourne districts like Nillumbik and Whittlesea reporting ratios as high as 1:3,200 (Victorian Department of Education, 2023). This staffing deficit compromises preventative mental health interventions, particularly in high-need communities. Furthermore, existing research primarily focuses on rural or national frameworks without contextualizing Melbourne's unique urban challenges: rapid gentrification altering school demographics, post-pandemic anxiety spikes (17% increase in youth referrals), and cultural barriers to accessing services. Without localized insights into</w:t>
      </w:r>
      <w:r>
        <w:t xml:space="preserve"> </w:t>
      </w:r>
      <w:r>
        <w:rPr>
          <w:bCs/>
          <w:b/>
        </w:rPr>
        <w:t xml:space="preserve">school counselor</w:t>
      </w:r>
      <w:r>
        <w:t xml:space="preserve"> </w:t>
      </w:r>
      <w:r>
        <w:t xml:space="preserve">practices, Melbourne schools risk implementing generic strategies ill-suited to their students' realities.</w:t>
      </w:r>
    </w:p>
    <w:bookmarkEnd w:id="21"/>
    <w:bookmarkStart w:id="22" w:name="research-questions"/>
    <w:p>
      <w:pPr>
        <w:pStyle w:val="Heading2"/>
      </w:pPr>
      <w:r>
        <w:t xml:space="preserve">3. Research Questions</w:t>
      </w:r>
    </w:p>
    <w:p>
      <w:pPr>
        <w:numPr>
          <w:ilvl w:val="0"/>
          <w:numId w:val="1001"/>
        </w:numPr>
        <w:pStyle w:val="Compact"/>
      </w:pPr>
      <w:r>
        <w:t xml:space="preserve">To what extent do current school counselor practices in Melbourne align with the Victorian Department of Education's Wellbeing Framework and the Australian National Standards for School Counseling?</w:t>
      </w:r>
    </w:p>
    <w:p>
      <w:pPr>
        <w:numPr>
          <w:ilvl w:val="0"/>
          <w:numId w:val="1001"/>
        </w:numPr>
        <w:pStyle w:val="Compact"/>
      </w:pPr>
      <w:r>
        <w:t xml:space="preserve">How do socioeconomic factors (e.g., postcode, school decile) influence the scope of practice for counselors in Melbourne schools?</w:t>
      </w:r>
    </w:p>
    <w:p>
      <w:pPr>
        <w:numPr>
          <w:ilvl w:val="0"/>
          <w:numId w:val="1001"/>
        </w:numPr>
        <w:pStyle w:val="Compact"/>
      </w:pPr>
      <w:r>
        <w:t xml:space="preserve">What culturally responsive strategies are most effective for Melbourne's diverse student cohorts, particularly Indigenous students (1.2% of Melbourne students) and refugee-background youth?</w:t>
      </w:r>
    </w:p>
    <w:bookmarkEnd w:id="22"/>
    <w:bookmarkStart w:id="23" w:name="Xd0b7372c70804f9dc4506ab7e3305d06fd3eeea"/>
    <w:p>
      <w:pPr>
        <w:pStyle w:val="Heading2"/>
      </w:pPr>
      <w:r>
        <w:t xml:space="preserve">4. Literature Review: Gaps in Australian Context</w:t>
      </w:r>
    </w:p>
    <w:p>
      <w:pPr>
        <w:pStyle w:val="FirstParagraph"/>
      </w:pPr>
      <w:r>
        <w:t xml:space="preserve">National studies (e.g., Dwyer &amp; Pocock, 2019) confirm school counselors improve academic outcomes but lack Melbourne-specific analysis. International models (ASCA, 2019) are often uncritically adopted without accounting for Australia's federal education structure or Melbourne's urban complexity. Recent Australian research by Sattler et al. (2022) identifies counselor burnout in Victorian schools as a systemic issue but fails to link it to spatial inequities across Melbourne's inner-city versus outer-suburban regions. Crucially, no thesis has yet examined how</w:t>
      </w:r>
      <w:r>
        <w:t xml:space="preserve"> </w:t>
      </w:r>
      <w:r>
        <w:rPr>
          <w:bCs/>
          <w:b/>
        </w:rPr>
        <w:t xml:space="preserve">Australia Melbourne</w:t>
      </w:r>
      <w:r>
        <w:t xml:space="preserve">'s multiculturalism reshapes counseling approaches—such as navigating language barriers with Vietnamese or Arabic-speaking families, or integrating Indigenous healing practices alongside Western models. This gap impedes evidence-based policy for Victoria’s 2030 Education Strategy.</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Melbourne's 15 most diverse schools (8 government, 7 independent), selected using stratified sampling by socioeconomic index (SEIFA). Phase 1: Quantitative analysis of counselor workload data (student caseloads, session types) from Victorian Department of Education databases. Phase 2: Qualitative interviews with 30 school counselors and focus groups with 150 students (diverse in age, ethnicity, disability status), analyzed via thematic coding using NVivo. Crucially, all fieldwork will occur within</w:t>
      </w:r>
      <w:r>
        <w:t xml:space="preserve"> </w:t>
      </w:r>
      <w:r>
        <w:rPr>
          <w:bCs/>
          <w:b/>
        </w:rPr>
        <w:t xml:space="preserve">Australia Melbourne</w:t>
      </w:r>
      <w:r>
        <w:t xml:space="preserve">'s geographical boundaries to capture urban-specific dynamics. Ethical approval will be sought through Deakin University's Human Research Ethics Committee, prioritizing student anonymity and cultural safety protocols for Indigenous participants per the Victorian Aboriginal Health Service guidelines.</w:t>
      </w:r>
    </w:p>
    <w:bookmarkEnd w:id="24"/>
    <w:bookmarkStart w:id="25" w:name="expected-outcomes-and-significance"/>
    <w:p>
      <w:pPr>
        <w:pStyle w:val="Heading2"/>
      </w:pPr>
      <w:r>
        <w:t xml:space="preserve">6. Expected Outcomes and Significance</w:t>
      </w:r>
    </w:p>
    <w:p>
      <w:pPr>
        <w:pStyle w:val="FirstParagraph"/>
      </w:pPr>
      <w:r>
        <w:t xml:space="preserve">This research will produce two key deliverables: (1) A Melbourne-specific "Wellbeing Integration Framework" for school counselors, identifying high-impact practices in resource-constrained settings; (2) Policy briefs for the Victorian Department of Education on optimizing counselor ratios by postcode. The significance extends beyond academia: findings will directly inform Melbourne's 2025 Mental Health Strategy implementation, potentially reducing service gaps in areas like Maribyrnong (where 40% of students are from low-SES households). For</w:t>
      </w:r>
      <w:r>
        <w:t xml:space="preserve"> </w:t>
      </w:r>
      <w:r>
        <w:rPr>
          <w:bCs/>
          <w:b/>
        </w:rPr>
        <w:t xml:space="preserve">school counselor</w:t>
      </w:r>
      <w:r>
        <w:t xml:space="preserve"> </w:t>
      </w:r>
      <w:r>
        <w:t xml:space="preserve">practitioners, the thesis will provide culturally nuanced tools—for instance, adapting trauma-informed approaches for refugee youth navigating Melbourne's resettlement services. The study also addresses the Australian Government’s National Mental Health Commission priority of "equitable access" by mapping counseling deserts in Melbourne's rapidly developing outer suburbs.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Timeline (Months)</w:t>
      </w:r>
    </w:p>
    <w:p>
      <w:pPr>
        <w:pStyle w:val="BodyText"/>
      </w:pPr>
      <w:r>
        <w:t xml:space="preserve">Key Activities</w:t>
      </w:r>
    </w:p>
    <w:p>
      <w:pPr>
        <w:pStyle w:val="BodyText"/>
      </w:pPr>
      <w:r>
        <w:t xml:space="preserve">Literature Review &amp; Design</w:t>
      </w:r>
    </w:p>
    <w:p>
      <w:pPr>
        <w:pStyle w:val="BodyText"/>
      </w:pPr>
      <w:r>
        <w:t xml:space="preserve">1-3</w:t>
      </w:r>
    </w:p>
    <w:p>
      <w:pPr>
        <w:pStyle w:val="BodyText"/>
      </w:pPr>
      <w:r>
        <w:t xml:space="preserve">Data collection protocol development; ethics approval</w:t>
      </w:r>
    </w:p>
    <w:p>
      <w:pPr>
        <w:pStyle w:val="BodyText"/>
      </w:pPr>
      <w:r>
        <w:t xml:space="preserve">Quantitative Phase (Data Analysis)</w:t>
      </w:r>
    </w:p>
    <w:p>
      <w:pPr>
        <w:pStyle w:val="BodyText"/>
      </w:pPr>
      <w:r>
        <w:t xml:space="preserve">4-6</w:t>
      </w:r>
    </w:p>
    <w:p>
      <w:pPr>
        <w:pStyle w:val="BodyText"/>
      </w:pPr>
      <w:r>
        <w:t xml:space="preserve">Fieldwork (Qualitative)</w:t>
      </w:r>
    </w:p>
    <w:p>
      <w:pPr>
        <w:pStyle w:val="BodyText"/>
      </w:pPr>
      <w:r>
        <w:t xml:space="preserve">7-10</w:t>
      </w:r>
    </w:p>
    <w:p>
      <w:pPr>
        <w:pStyle w:val="BodyText"/>
      </w:pPr>
      <w:r>
        <w:t xml:space="preserve">Counselor interviews; student focus groups across 5 Melbourne LGAs</w:t>
      </w:r>
    </w:p>
    <w:p>
      <w:pPr>
        <w:pStyle w:val="BodyText"/>
      </w:pPr>
      <w:r>
        <w:t xml:space="preserve">Data Synthesis &amp; Framework Development</w:t>
      </w:r>
    </w:p>
    <w:p>
      <w:pPr>
        <w:pStyle w:val="BodyText"/>
      </w:pPr>
      <w:r>
        <w:t xml:space="preserve">11-14</w:t>
      </w:r>
    </w:p>
    <w:p>
      <w:pPr>
        <w:pStyle w:val="BodyText"/>
      </w:pPr>
      <w:r>
        <w:t xml:space="preserve">Thematic analysis; draft framework validation with Melbourne school networks</w:t>
      </w:r>
    </w:p>
    <w:p>
      <w:pPr>
        <w:pStyle w:val="BodyText"/>
      </w:pPr>
      <w:r>
        <w:t xml:space="preserve">Dissertation Writing &amp; Policy Briefs</w:t>
      </w:r>
    </w:p>
    <w:p>
      <w:pPr>
        <w:pStyle w:val="BodyText"/>
      </w:pPr>
      <w:r>
        <w:t xml:space="preserve">15-20</w:t>
      </w:r>
    </w:p>
    <w:p>
      <w:pPr>
        <w:pStyle w:val="BodyText"/>
      </w:pPr>
      <w:r>
        <w:t xml:space="preserve">Drafting thesis; submitting policy briefs to Department of Education, Victorian Schools Council</w:t>
      </w:r>
    </w:p>
    <w:bookmarkEnd w:id="26"/>
    <w:bookmarkStart w:id="28" w:name="X872d0dd996d3359177f739fa731c155fbfd3cdd"/>
    <w:p>
      <w:pPr>
        <w:pStyle w:val="Heading2"/>
      </w:pPr>
      <w:r>
        <w:t xml:space="preserve">8. Conclusion: A Call for Contextualized Practice in Melbourne</w:t>
      </w:r>
    </w:p>
    <w:p>
      <w:pPr>
        <w:pStyle w:val="FirstParagraph"/>
      </w:pPr>
      <w:r>
        <w:t xml:space="preserve">This thesis proposes a critical shift from generic to place-based school counseling in</w:t>
      </w:r>
      <w:r>
        <w:t xml:space="preserve"> </w:t>
      </w:r>
      <w:r>
        <w:rPr>
          <w:bCs/>
          <w:b/>
        </w:rPr>
        <w:t xml:space="preserve">Australia Melbourne</w:t>
      </w:r>
      <w:r>
        <w:t xml:space="preserve">. By centering the unique interplay of urban geography, multiculturalism, and systemic inequities within Melbourne's schools, it will establish the first evidence base for optimizing</w:t>
      </w:r>
      <w:r>
        <w:t xml:space="preserve"> </w:t>
      </w:r>
      <w:r>
        <w:rPr>
          <w:bCs/>
          <w:b/>
        </w:rPr>
        <w:t xml:space="preserve">school counselor</w:t>
      </w:r>
      <w:r>
        <w:t xml:space="preserve"> </w:t>
      </w:r>
      <w:r>
        <w:t xml:space="preserve">roles in Australia’s most diverse city. As Melbourne transitions toward a 'Wellbeing-First Education System' (Victoria Government, 2022), this research positions counselors not merely as service providers but as architects of equitable student futures. The findings will empower educators to move beyond crisis management toward proactive wellbeing ecosystems—transforming how</w:t>
      </w:r>
      <w:r>
        <w:t xml:space="preserve"> </w:t>
      </w:r>
      <w:r>
        <w:rPr>
          <w:bCs/>
          <w:b/>
        </w:rPr>
        <w:t xml:space="preserve">Australia Melbourne</w:t>
      </w:r>
      <w:r>
        <w:t xml:space="preserve"> </w:t>
      </w:r>
      <w:r>
        <w:t xml:space="preserve">cultivates resilience in its next generation.</w:t>
      </w:r>
    </w:p>
    <w:bookmarkStart w:id="27" w:name="references-key-sources"/>
    <w:p>
      <w:pPr>
        <w:pStyle w:val="Heading3"/>
      </w:pPr>
      <w:r>
        <w:t xml:space="preserve">References (Key Sources)</w:t>
      </w:r>
    </w:p>
    <w:p>
      <w:pPr>
        <w:numPr>
          <w:ilvl w:val="0"/>
          <w:numId w:val="1002"/>
        </w:numPr>
        <w:pStyle w:val="Compact"/>
      </w:pPr>
      <w:r>
        <w:t xml:space="preserve">Australian Government Department of Education. (2021). *National School Reform Agreement*. Canberra.</w:t>
      </w:r>
    </w:p>
    <w:p>
      <w:pPr>
        <w:numPr>
          <w:ilvl w:val="0"/>
          <w:numId w:val="1002"/>
        </w:numPr>
        <w:pStyle w:val="Compact"/>
      </w:pPr>
      <w:r>
        <w:t xml:space="preserve">Beyond Blue. (2023). *Youth Mental Health in Melbourne: 2023 Report*. Melbourne.</w:t>
      </w:r>
    </w:p>
    <w:p>
      <w:pPr>
        <w:numPr>
          <w:ilvl w:val="0"/>
          <w:numId w:val="1002"/>
        </w:numPr>
        <w:pStyle w:val="Compact"/>
      </w:pPr>
      <w:r>
        <w:t xml:space="preserve">Dwyer, M., &amp; Pocock, A. (2019). School Counselors and Student Outcomes: An Australian Study. *Australian Journal of Guidance and Counselling*, 29(1), 45–61.</w:t>
      </w:r>
    </w:p>
    <w:p>
      <w:pPr>
        <w:numPr>
          <w:ilvl w:val="0"/>
          <w:numId w:val="1002"/>
        </w:numPr>
        <w:pStyle w:val="Compact"/>
      </w:pPr>
      <w:r>
        <w:t xml:space="preserve">Sattler, A., et al. (2022). Burnout Among Victorian School Counselors: Causes and Consequences. *Journal of School Counseling*, 20(3), 78–95.</w:t>
      </w:r>
    </w:p>
    <w:p>
      <w:pPr>
        <w:numPr>
          <w:ilvl w:val="0"/>
          <w:numId w:val="1002"/>
        </w:numPr>
        <w:pStyle w:val="Compact"/>
      </w:pPr>
      <w:r>
        <w:t xml:space="preserve">Victorian Department of Education. (2023). *School Counselor Workforce Data Report*. Melbourne.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Practices in Melbourne, Australia</dc:title>
  <dc:creator/>
  <dc:language>en</dc:language>
  <cp:keywords/>
  <dcterms:created xsi:type="dcterms:W3CDTF">2026-07-22T15:33:32Z</dcterms:created>
  <dcterms:modified xsi:type="dcterms:W3CDTF">2026-07-22T15:33:32Z</dcterms:modified>
</cp:coreProperties>
</file>

<file path=docProps/custom.xml><?xml version="1.0" encoding="utf-8"?>
<Properties xmlns="http://schemas.openxmlformats.org/officeDocument/2006/custom-properties" xmlns:vt="http://schemas.openxmlformats.org/officeDocument/2006/docPropsVTypes"/>
</file>