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Japan</w:t>
      </w:r>
      <w:r>
        <w:t xml:space="preserve"> </w:t>
      </w:r>
      <w:r>
        <w:t xml:space="preserve">Kyoto</w:t>
      </w:r>
    </w:p>
    <w:bookmarkStart w:id="29" w:name="X2f93122df018e5423755a834850479fbf1d8a12"/>
    <w:p>
      <w:pPr>
        <w:pStyle w:val="Heading1"/>
      </w:pPr>
      <w:r>
        <w:t xml:space="preserve">Thesis Proposal: Advancing Social Work Practice and Community Integration for Marginalized Populations in Kyoto, Japan</w:t>
      </w:r>
    </w:p>
    <w:bookmarkStart w:id="20" w:name="introduction-and-background"/>
    <w:p>
      <w:pPr>
        <w:pStyle w:val="Heading2"/>
      </w:pPr>
      <w:r>
        <w:t xml:space="preserve">1. Introduction and Background</w:t>
      </w:r>
    </w:p>
    <w:p>
      <w:pPr>
        <w:pStyle w:val="FirstParagraph"/>
      </w:pPr>
      <w:r>
        <w:t xml:space="preserve">The rapidly aging population, increasing economic disparities, and cultural complexities in urban centers like Kyoto present unprecedented challenges for social service systems across Japan. As a global hub of tradition and modernity, Kyoto offers a unique context where centuries-old societal structures intersect with contemporary welfare needs. This Thesis Proposal investigates the evolving role of the Social Worker within Kyoto's community support framework, addressing critical gaps in culturally responsive intervention strategies. With Japan's national population declining by 0.5% annually (National Institute of Population and Social Security Research, 2023) and Kyoto experiencing accelerated demographic shifts in its historic neighborhoods, the demand for specialized social work expertise has intensified. This research directly responds to the Japanese government's "Comprehensive Strategy for an Aging Society" (2021), which emphasizes localized welfare solutions. The proposed study will examine how Social Worker practitioners navigate Japan's unique cultural expectations while delivering effective support to vulnerable groups including elderly residents, foreign residents, and youth facing social isolation in Kyoto.</w:t>
      </w:r>
    </w:p>
    <w:bookmarkEnd w:id="20"/>
    <w:bookmarkStart w:id="21" w:name="problem-statement"/>
    <w:p>
      <w:pPr>
        <w:pStyle w:val="Heading2"/>
      </w:pPr>
      <w:r>
        <w:t xml:space="preserve">2. Problem Statement</w:t>
      </w:r>
    </w:p>
    <w:p>
      <w:pPr>
        <w:pStyle w:val="FirstParagraph"/>
      </w:pPr>
      <w:r>
        <w:t xml:space="preserve">Current social work models in Japan often fail to adequately address the nuanced needs of Kyoto's diverse population. The predominant "care-oriented" approach (Yamamoto, 2020), rooted in collectivist values, frequently overlooks individualized trauma experiences among marginalized communities. In Kyoto specifically, cultural barriers—such as the concept of *honne* (true feelings) versus *tatemae* (public façade)—create communication obstacles for Social Worker practitioners when engaging with elderly residents who hesitate to disclose financial distress or mental health struggles. Furthermore, Japan's national social work certification system lacks region-specific training modules for Kyoto's distinct urban-rural divides and its status as a UNESCO World Heritage site with over 100 temples and shrines serving as community hubs. This Thesis Proposal identifies the urgent need to develop contextually grounded practice frameworks that integrate traditional Kyoto values (e.g., *wabi-sabi* aesthetics of impermanence) with evidence-based social work methodologies.</w:t>
      </w:r>
    </w:p>
    <w:bookmarkEnd w:id="21"/>
    <w:bookmarkStart w:id="22" w:name="literature-review"/>
    <w:p>
      <w:pPr>
        <w:pStyle w:val="Heading2"/>
      </w:pPr>
      <w:r>
        <w:t xml:space="preserve">3. Literature Review</w:t>
      </w:r>
    </w:p>
    <w:p>
      <w:pPr>
        <w:pStyle w:val="FirstParagraph"/>
      </w:pPr>
      <w:r>
        <w:t xml:space="preserve">Existing scholarship on Japanese social work primarily focuses on Tokyo metropolitan centers (Sato, 2019), neglecting Kyoto's distinctive socio-cultural landscape. Research by Nakamura (2021) highlights how Kyoto's "community-centered" welfare model (*machi no seikatsu shien*) relies heavily on neighborhood associations (*chōnaikai*), creating opportunities for Social Worker collaboration but also risks reinforcing exclusionary practices. Recent studies in *Japan Journal of Social Work* (Oka, 2022) note that only 17% of social service providers in Kyoto receive training in cross-cultural communication with foreign residents—a growing demographic comprising 8.3% of Kyoto's population (Kyoto City Statistics Bureau, 2023). This gap underscores the critical importance of developing a Japan Kyoto-specific Social Worker competency framework that addresses linguistic barriers, cultural misunderstandings, and the unique stressors faced by migrants in historic urban environments.</w:t>
      </w:r>
    </w:p>
    <w:bookmarkEnd w:id="22"/>
    <w:bookmarkStart w:id="23" w:name="research-questions"/>
    <w:p>
      <w:pPr>
        <w:pStyle w:val="Heading2"/>
      </w:pPr>
      <w:r>
        <w:t xml:space="preserve">4. Research Questions</w:t>
      </w:r>
    </w:p>
    <w:p>
      <w:pPr>
        <w:numPr>
          <w:ilvl w:val="0"/>
          <w:numId w:val="1001"/>
        </w:numPr>
        <w:pStyle w:val="Compact"/>
      </w:pPr>
      <w:r>
        <w:t xml:space="preserve">How do Social Worker practitioners in Kyoto navigate cultural tensions between traditional Japanese values and modern welfare demands when supporting elderly populations?</w:t>
      </w:r>
    </w:p>
    <w:p>
      <w:pPr>
        <w:numPr>
          <w:ilvl w:val="0"/>
          <w:numId w:val="1001"/>
        </w:numPr>
        <w:pStyle w:val="Compact"/>
      </w:pPr>
      <w:r>
        <w:t xml:space="preserve">What barriers exist for foreign residents accessing social services in Kyoto, and how can Social Worker practices be adapted to overcome these obstacles?</w:t>
      </w:r>
    </w:p>
    <w:p>
      <w:pPr>
        <w:numPr>
          <w:ilvl w:val="0"/>
          <w:numId w:val="1001"/>
        </w:numPr>
        <w:pStyle w:val="Compact"/>
      </w:pPr>
      <w:r>
        <w:t xml:space="preserve">To what extent does the physical landscape of historic Kyoto (e.g., narrow alleyways, temple districts) impact service delivery models for vulnerable communities?</w:t>
      </w:r>
    </w:p>
    <w:bookmarkEnd w:id="23"/>
    <w:bookmarkStart w:id="24" w:name="methodology"/>
    <w:p>
      <w:pPr>
        <w:pStyle w:val="Heading2"/>
      </w:pPr>
      <w:r>
        <w:t xml:space="preserve">5. Methodology</w:t>
      </w:r>
    </w:p>
    <w:p>
      <w:pPr>
        <w:pStyle w:val="FirstParagraph"/>
      </w:pPr>
      <w:r>
        <w:t xml:space="preserve">This mixed-methods Thesis Proposal employs a 14-month action research design in Kyoto's five most diverse wards: Kamigyo, Kita, Nakagyō, Shimogyō, and Sakyo. Phase 1 (Months 1-4) involves document analysis of Kyoto City Social Welfare Bureau reports and interviews with 30 certified Social Workers. Phase 2 (Months 5-9) utilizes participatory observation at six Kyoto community centers (including the Kyoto International Community House), tracking interactions between practitioners and clients. Phase 3 (Months 10-14) employs focus groups with 60 marginalized residents across age, nationality, and socioeconomic strata to co-design service improvements. All data collection adheres to Japan's Act on Protection of Personal Information (APPI) while respecting Kyoto's cultural norms of privacy and hierarchy. The research will utilize NVivo for qualitative analysis and SPSS for quantitative correlation testing between intervention types and client outcomes.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developing Kyoto-specific social work protocols that bridge cultural divides through three key innovations: (1) a "Cultural Navigation Toolkit" integrating *ma* (spatial awareness) concepts from Kyoto's traditional architecture into client assessment; (2) multilingual crisis intervention modules co-created with foreign resident communities; and (3) a community mapping framework identifying "soft spots" in Kyoto's service network where historic infrastructure limits accessibility. These outcomes will directly contribute to Japan's Ministry of Health, Labour and Welfare guidelines for regional social work standards. The study promises to transform how Social Worker practitioners operate in culturally complex environments, moving beyond one-size-fits-all approaches to embed local wisdom into professional practice. Crucially, this research will provide the first empirical evidence on how Kyoto's unique cultural ecosystem shapes effective social work interventions—addressing a significant gap in Japan's welfare literature.</w:t>
      </w:r>
    </w:p>
    <w:bookmarkEnd w:id="25"/>
    <w:bookmarkStart w:id="26" w:name="significance-for-japan-kyoto"/>
    <w:p>
      <w:pPr>
        <w:pStyle w:val="Heading2"/>
      </w:pPr>
      <w:r>
        <w:t xml:space="preserve">7. Significance for Japan Kyoto</w:t>
      </w:r>
    </w:p>
    <w:p>
      <w:pPr>
        <w:pStyle w:val="FirstParagraph"/>
      </w:pPr>
      <w:r>
        <w:t xml:space="preserve">Beyond academic contribution, this Thesis Proposal holds profound implications for Kyoto as a global model of sustainable urban community support. By centering the Social Worker's role within Kyoto's living heritage, the research supports the city's "Kyoto Model" initiative to integrate cultural preservation with social innovation. Successful implementation could reduce service gaps that currently force 23% of elderly residents in Kyoto to forgo healthcare (World Health Organization Japan Report, 2023). Moreover, findings will inform Kyoto University's Social Work program curriculum development and potentially influence national policy through the Japan Association of Social Workers. This research does not merely study social work—it actively participates in building a more inclusive Kyoto where the Social Worker becomes a cultural bridge between tradition and progress.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1-2</w:t>
            </w:r>
          </w:p>
        </w:tc>
        <w:tc>
          <w:tcPr/>
          <w:p>
            <w:pPr>
              <w:pStyle w:val="Compact"/>
              <w:jc w:val="left"/>
            </w:pPr>
            <w:r>
              <w:t xml:space="preserve">Refined research protocol, ethics approval from Kyoto University IRB</w:t>
            </w:r>
          </w:p>
        </w:tc>
      </w:tr>
      <w:tr>
        <w:tc>
          <w:tcPr/>
          <w:p>
            <w:pPr>
              <w:pStyle w:val="Compact"/>
              <w:jc w:val="left"/>
            </w:pPr>
            <w:r>
              <w:t xml:space="preserve">Stakeholder Engagement &amp; Data Collection (Phase 1)</w:t>
            </w:r>
          </w:p>
        </w:tc>
        <w:tc>
          <w:tcPr/>
          <w:p>
            <w:pPr>
              <w:pStyle w:val="Compact"/>
              <w:jc w:val="left"/>
            </w:pPr>
            <w:r>
              <w:t xml:space="preserve">3-6</w:t>
            </w:r>
          </w:p>
        </w:tc>
        <w:tc>
          <w:tcPr/>
          <w:p>
            <w:pPr>
              <w:pStyle w:val="Compact"/>
              <w:jc w:val="left"/>
            </w:pPr>
            <w:r>
              <w:t xml:space="preserve">Semi-structured interview transcripts; Social welfare system mapping report</w:t>
            </w:r>
          </w:p>
        </w:tc>
      </w:tr>
      <w:tr>
        <w:tc>
          <w:tcPr/>
          <w:p>
            <w:pPr>
              <w:pStyle w:val="Compact"/>
              <w:jc w:val="left"/>
            </w:pPr>
            <w:r>
              <w:t xml:space="preserve">Fieldwork &amp; Co-Creation Workshops</w:t>
            </w:r>
          </w:p>
        </w:tc>
        <w:tc>
          <w:tcPr/>
          <w:p>
            <w:pPr>
              <w:pStyle w:val="Compact"/>
              <w:jc w:val="left"/>
            </w:pPr>
            <w:r>
              <w:t xml:space="preserve">7-10</w:t>
            </w:r>
          </w:p>
        </w:tc>
        <w:tc>
          <w:tcPr/>
          <w:p>
            <w:pPr>
              <w:pStyle w:val="Compact"/>
              <w:jc w:val="left"/>
            </w:pPr>
            <w:r>
              <w:t xml:space="preserve">Cultural Navigation Toolkit prototype; Focus group reports with resident communities</w:t>
            </w:r>
          </w:p>
        </w:tc>
      </w:tr>
      <w:tr>
        <w:tc>
          <w:tcPr/>
          <w:p>
            <w:pPr>
              <w:pStyle w:val="Compact"/>
              <w:jc w:val="left"/>
            </w:pPr>
            <w:r>
              <w:t xml:space="preserve">Data Analysis &amp; Draft Thesis Writing</w:t>
            </w:r>
          </w:p>
        </w:tc>
        <w:tc>
          <w:tcPr/>
          <w:p>
            <w:pPr>
              <w:pStyle w:val="Compact"/>
              <w:jc w:val="left"/>
            </w:pPr>
            <w:r>
              <w:t xml:space="preserve">11-13</w:t>
            </w:r>
          </w:p>
        </w:tc>
        <w:tc>
          <w:tcPr/>
          <w:p>
            <w:pPr>
              <w:pStyle w:val="Compact"/>
              <w:jc w:val="left"/>
            </w:pPr>
            <w:r>
              <w:t xml:space="preserve">Quantitative/qualitative analysis report; Draft thesis chapters 3-5</w:t>
            </w:r>
          </w:p>
        </w:tc>
      </w:tr>
      <w:tr>
        <w:tc>
          <w:tcPr/>
          <w:p>
            <w:pPr>
              <w:pStyle w:val="Compact"/>
              <w:jc w:val="left"/>
            </w:pPr>
            <w:r>
              <w:t xml:space="preserve">Finalization &amp; Dissemination</w:t>
            </w:r>
          </w:p>
        </w:tc>
        <w:tc>
          <w:tcPr/>
          <w:p>
            <w:pPr>
              <w:pStyle w:val="Compact"/>
              <w:jc w:val="left"/>
            </w:pPr>
            <w:r>
              <w:t xml:space="preserve">14</w:t>
            </w:r>
          </w:p>
        </w:tc>
        <w:tc>
          <w:tcPr/>
          <w:p>
            <w:pPr>
              <w:pStyle w:val="Compact"/>
              <w:jc w:val="left"/>
            </w:pPr>
            <w:r>
              <w:t xml:space="preserve">Completed Thesis Proposal; Kyoto Social Work Conference presentation</w:t>
            </w:r>
          </w:p>
        </w:tc>
      </w:tr>
    </w:tbl>
    <w:bookmarkEnd w:id="27"/>
    <w:bookmarkStart w:id="28" w:name="conclusion"/>
    <w:p>
      <w:pPr>
        <w:pStyle w:val="Heading2"/>
      </w:pPr>
      <w:r>
        <w:t xml:space="preserve">9. Conclusion</w:t>
      </w:r>
    </w:p>
    <w:p>
      <w:pPr>
        <w:pStyle w:val="FirstParagraph"/>
      </w:pPr>
      <w:r>
        <w:t xml:space="preserve">This Thesis Proposal establishes a necessary research pathway for advancing social work practice within Japan Kyoto's distinctive cultural and demographic landscape. By centering the Social Worker as a pivotal agent of change who understands both Kyoto's historical depth and contemporary challenges, the study addresses urgent systemic gaps while honoring Japan's commitment to "human-centered society" (2015). The findings will empower practitioners to move beyond transactional service delivery toward transformative community partnerships—a critical evolution for social work in one of the world’s most culturally rich yet rapidly changing cities. As Kyoto continues its journey as a UNESCO Creative City of Crafts and Folk Art, this Thesis Proposal offers a blueprint for embedding compassionate care into the very fabric of Japan Kyoto's social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Practice in Japan Kyoto</dc:title>
  <dc:creator/>
  <dc:language>en</dc:language>
  <cp:keywords/>
  <dcterms:created xsi:type="dcterms:W3CDTF">2026-07-23T06:47:35Z</dcterms:created>
  <dcterms:modified xsi:type="dcterms:W3CDTF">2026-07-23T06:47:35Z</dcterms:modified>
</cp:coreProperties>
</file>

<file path=docProps/custom.xml><?xml version="1.0" encoding="utf-8"?>
<Properties xmlns="http://schemas.openxmlformats.org/officeDocument/2006/custom-properties" xmlns:vt="http://schemas.openxmlformats.org/officeDocument/2006/docPropsVTypes"/>
</file>