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China</w:t>
      </w:r>
      <w:r>
        <w:t xml:space="preserve"> </w:t>
      </w:r>
      <w:r>
        <w:t xml:space="preserve">Guangzhou</w:t>
      </w:r>
    </w:p>
    <w:bookmarkStart w:id="29" w:name="Xb4e20968207f8fc1c3003835cf4521ff5965aeb"/>
    <w:p>
      <w:pPr>
        <w:pStyle w:val="Heading1"/>
      </w:pPr>
      <w:r>
        <w:t xml:space="preserve">Thesis Proposal: Developing Context-Aware Software Engineering Frameworks for China Guangzhou's Tech Ecosystem</w:t>
      </w:r>
    </w:p>
    <w:bookmarkStart w:id="20" w:name="introduction"/>
    <w:p>
      <w:pPr>
        <w:pStyle w:val="Heading2"/>
      </w:pPr>
      <w:r>
        <w:t xml:space="preserve">1. Introduction</w:t>
      </w:r>
    </w:p>
    <w:p>
      <w:pPr>
        <w:pStyle w:val="FirstParagraph"/>
      </w:pPr>
      <w:r>
        <w:t xml:space="preserve">The rapid technological advancement of China Guangzhou has positioned the city as a critical hub in southern China's digital economy. As one of the fastest-growing metropolises with over 15 million residents and a thriving tech sector, Guangzhou requires specialized software engineering approaches that align with its unique socio-economic landscape. This Thesis Proposal outlines research to develop a context-aware framework for Software Engineer professionals operating within Guangzhou's dynamic business environment. The project directly addresses the gap between globally adopted software development methodologies and the localized needs of China's fourth-largest economic zone, where cultural nuances, regulatory frameworks, and market demands necessitate tailored engineering practices.</w:t>
      </w:r>
    </w:p>
    <w:bookmarkEnd w:id="20"/>
    <w:bookmarkStart w:id="21" w:name="problem-statement"/>
    <w:p>
      <w:pPr>
        <w:pStyle w:val="Heading2"/>
      </w:pPr>
      <w:r>
        <w:t xml:space="preserve">2. Problem Statement</w:t>
      </w:r>
    </w:p>
    <w:p>
      <w:pPr>
        <w:pStyle w:val="FirstParagraph"/>
      </w:pPr>
      <w:r>
        <w:t xml:space="preserve">Current software engineering practices in Guangzhou often rely on Western-centric models (e.g., Scrum, Agile) that fail to account for local factors including: 1) China's stringent data sovereignty laws under the Personal Information Protection Law (PIPL), 2) the integration of WeChat ecosystem dependencies in application design, and 3) cultural communication patterns affecting cross-team collaboration. A recent survey by Guangzhou Software Industry Association (2023) revealed that 68% of local tech firms experience project delays due to misalignment between imported methodologies and Guangzhou's operational context. This research directly targets these challenges to empower the next generation of Software Engineer professionals in China Guangzhou.</w:t>
      </w:r>
    </w:p>
    <w:bookmarkEnd w:id="21"/>
    <w:bookmarkStart w:id="22" w:name="research-objectives"/>
    <w:p>
      <w:pPr>
        <w:pStyle w:val="Heading2"/>
      </w:pPr>
      <w:r>
        <w:t xml:space="preserve">3. Research Objectives</w:t>
      </w:r>
    </w:p>
    <w:p>
      <w:pPr>
        <w:pStyle w:val="FirstParagraph"/>
      </w:pPr>
      <w:r>
        <w:t xml:space="preserve">This Thesis Proposal establishes four key objectives for advancing software engineering in China Guangzhou:</w:t>
      </w:r>
    </w:p>
    <w:p>
      <w:pPr>
        <w:numPr>
          <w:ilvl w:val="0"/>
          <w:numId w:val="1001"/>
        </w:numPr>
        <w:pStyle w:val="Compact"/>
      </w:pPr>
      <w:r>
        <w:rPr>
          <w:bCs/>
          <w:b/>
        </w:rPr>
        <w:t xml:space="preserve">Contextual Framework Development:</w:t>
      </w:r>
      <w:r>
        <w:t xml:space="preserve"> </w:t>
      </w:r>
      <w:r>
        <w:t xml:space="preserve">Create a software engineering framework incorporating PIPL compliance protocols, WeChat Mini Program integration standards, and localized sprint planning adapted to Chinese work culture.</w:t>
      </w:r>
    </w:p>
    <w:p>
      <w:pPr>
        <w:numPr>
          <w:ilvl w:val="0"/>
          <w:numId w:val="1001"/>
        </w:numPr>
        <w:pStyle w:val="Compact"/>
      </w:pPr>
      <w:r>
        <w:rPr>
          <w:bCs/>
          <w:b/>
        </w:rPr>
        <w:t xml:space="preserve">Cultural Intelligence Integration:</w:t>
      </w:r>
      <w:r>
        <w:t xml:space="preserve"> </w:t>
      </w:r>
      <w:r>
        <w:t xml:space="preserve">Develop metrics for measuring "cultural intelligence" in Software Engineer teams through communication pattern analysis (e.g., hierarchical decision-making vs. Western flat structures).</w:t>
      </w:r>
    </w:p>
    <w:p>
      <w:pPr>
        <w:numPr>
          <w:ilvl w:val="0"/>
          <w:numId w:val="1001"/>
        </w:numPr>
        <w:pStyle w:val="Compact"/>
      </w:pPr>
      <w:r>
        <w:rPr>
          <w:bCs/>
          <w:b/>
        </w:rPr>
        <w:t xml:space="preserve">Guangzhou-Specific Toolchain Optimization:</w:t>
      </w:r>
      <w:r>
        <w:t xml:space="preserve"> </w:t>
      </w:r>
      <w:r>
        <w:t xml:space="preserve">Design a development toolkit featuring native support for China's cloud infrastructure (Aliyun, Tencent Cloud) and compliance automation.</w:t>
      </w:r>
    </w:p>
    <w:p>
      <w:pPr>
        <w:numPr>
          <w:ilvl w:val="0"/>
          <w:numId w:val="1001"/>
        </w:numPr>
        <w:pStyle w:val="Compact"/>
      </w:pPr>
      <w:r>
        <w:rPr>
          <w:bCs/>
          <w:b/>
        </w:rPr>
        <w:t xml:space="preserve">Industry Validation Protocol:</w:t>
      </w:r>
      <w:r>
        <w:t xml:space="preserve"> </w:t>
      </w:r>
      <w:r>
        <w:t xml:space="preserve">Establish validation benchmarks using Guangzhou-based case studies across fintech, e-commerce, and smart city sectors.</w:t>
      </w:r>
    </w:p>
    <w:bookmarkEnd w:id="22"/>
    <w:bookmarkStart w:id="23" w:name="literature-review"/>
    <w:p>
      <w:pPr>
        <w:pStyle w:val="Heading2"/>
      </w:pPr>
      <w:r>
        <w:t xml:space="preserve">4. Literature Review</w:t>
      </w:r>
    </w:p>
    <w:p>
      <w:pPr>
        <w:pStyle w:val="FirstParagraph"/>
      </w:pPr>
      <w:r>
        <w:t xml:space="preserve">While extensive literature exists on global software engineering methodologies (Sommerville, 2019), critical gaps persist regarding China-specific contexts. Wang et al. (2021) identified "methodology transfer challenges" in Chinese tech firms but focused narrowly on Beijing/Shanghai, neglecting Guangzhou's distinct position as a manufacturing-and-trade nexus. Recent works by Chen (2023) on PIPL-compliant development highlight technical requirements but ignore team dynamics. This research uniquely bridges these gaps by centering China Guangzhou's dual identity: as a global manufacturing export hub and digital innovation ecosystem where 47% of software engineers work on supply chain or logistics platforms (Guangzhou Economic Development Report, 2023).</w:t>
      </w:r>
    </w:p>
    <w:bookmarkEnd w:id="23"/>
    <w:bookmarkStart w:id="24" w:name="methodology"/>
    <w:p>
      <w:pPr>
        <w:pStyle w:val="Heading2"/>
      </w:pPr>
      <w:r>
        <w:t xml:space="preserve">5. Methodology</w:t>
      </w:r>
    </w:p>
    <w:p>
      <w:pPr>
        <w:pStyle w:val="FirstParagraph"/>
      </w:pPr>
      <w:r>
        <w:t xml:space="preserve">The proposed research employs a three-phase mixed-methods approach:</w:t>
      </w:r>
    </w:p>
    <w:p>
      <w:pPr>
        <w:numPr>
          <w:ilvl w:val="0"/>
          <w:numId w:val="1002"/>
        </w:numPr>
        <w:pStyle w:val="Compact"/>
      </w:pPr>
      <w:r>
        <w:rPr>
          <w:bCs/>
          <w:b/>
        </w:rPr>
        <w:t xml:space="preserve">Phase 1: Context Mapping (Months 1-4):</w:t>
      </w:r>
      <w:r>
        <w:t xml:space="preserve"> </w:t>
      </w:r>
      <w:r>
        <w:t xml:space="preserve">Analyze 10+ Guangzhou-based tech firms (including Midea Group, GanJing Tech) through site visits and document analysis to map regulatory, cultural, and technical pain points.</w:t>
      </w:r>
    </w:p>
    <w:p>
      <w:pPr>
        <w:numPr>
          <w:ilvl w:val="0"/>
          <w:numId w:val="1002"/>
        </w:numPr>
        <w:pStyle w:val="Compact"/>
      </w:pPr>
      <w:r>
        <w:rPr>
          <w:bCs/>
          <w:b/>
        </w:rPr>
        <w:t xml:space="preserve">Phase 2: Framework Co-Creation (Months 5-8):</w:t>
      </w:r>
      <w:r>
        <w:t xml:space="preserve"> </w:t>
      </w:r>
      <w:r>
        <w:t xml:space="preserve">Collaborate with Software Engineer teams at Guangzhou University's AI Lab and local firms to develop the prototype framework using participatory design workshops.</w:t>
      </w:r>
    </w:p>
    <w:p>
      <w:pPr>
        <w:numPr>
          <w:ilvl w:val="0"/>
          <w:numId w:val="1002"/>
        </w:numPr>
        <w:pStyle w:val="Compact"/>
      </w:pPr>
      <w:r>
        <w:rPr>
          <w:bCs/>
          <w:b/>
        </w:rPr>
        <w:t xml:space="preserve">Phase 3: Validation &amp; Iteration (Months 9-12):</w:t>
      </w:r>
      <w:r>
        <w:t xml:space="preserve"> </w:t>
      </w:r>
      <w:r>
        <w:t xml:space="preserve">Implement the framework in three pilot projects: a logistics platform for Guangzhou Port Authority, a WeChat-based e-commerce solution for local artisans, and a smart city traffic management system. Measure outcomes against KPIs including deployment speed, compliance rate, and team productivity.</w:t>
      </w:r>
    </w:p>
    <w:p>
      <w:pPr>
        <w:pStyle w:val="FirstParagraph"/>
      </w:pPr>
      <w:r>
        <w:t xml:space="preserve">Key innovation lies in the "Guangzhou Adaptation Index" – a novel metric quantifying how well methodologies align with local operational rhythms (e.g., accounting for Spring Festival shutdown periods in sprint planning).</w:t>
      </w:r>
    </w:p>
    <w:bookmarkEnd w:id="24"/>
    <w:bookmarkStart w:id="25" w:name="expected-outcomes-and-significance"/>
    <w:p>
      <w:pPr>
        <w:pStyle w:val="Heading2"/>
      </w:pPr>
      <w:r>
        <w:t xml:space="preserve">6. Expected Outcomes and Significance</w:t>
      </w:r>
    </w:p>
    <w:p>
      <w:pPr>
        <w:pStyle w:val="FirstParagraph"/>
      </w:pPr>
      <w:r>
        <w:t xml:space="preserve">This Thesis Proposal delivers two primary contributions:</w:t>
      </w:r>
    </w:p>
    <w:p>
      <w:pPr>
        <w:numPr>
          <w:ilvl w:val="0"/>
          <w:numId w:val="1003"/>
        </w:numPr>
        <w:pStyle w:val="Compact"/>
      </w:pPr>
      <w:r>
        <w:rPr>
          <w:bCs/>
          <w:b/>
        </w:rPr>
        <w:t xml:space="preserve">A Deployable Engineering Framework:</w:t>
      </w:r>
      <w:r>
        <w:t xml:space="preserve"> </w:t>
      </w:r>
      <w:r>
        <w:t xml:space="preserve">A ready-to-use toolkit including PIPL compliance checklists, WeChat Mini Program development templates, and culturally adapted Agile ceremonies (e.g., "Harmony Sprints" accounting for seniority-based consensus building).</w:t>
      </w:r>
    </w:p>
    <w:p>
      <w:pPr>
        <w:numPr>
          <w:ilvl w:val="0"/>
          <w:numId w:val="1003"/>
        </w:numPr>
        <w:pStyle w:val="Compact"/>
      </w:pPr>
      <w:r>
        <w:rPr>
          <w:bCs/>
          <w:b/>
        </w:rPr>
        <w:t xml:space="preserve">Academic and Industry Impact:</w:t>
      </w:r>
      <w:r>
        <w:t xml:space="preserve"> </w:t>
      </w:r>
      <w:r>
        <w:t xml:space="preserve">The research will establish Guangzhou as a model for context-aware software engineering in emerging markets. Results will directly benefit Software Engineer professionals through:</w:t>
      </w:r>
    </w:p>
    <w:p>
      <w:pPr>
        <w:numPr>
          <w:ilvl w:val="1"/>
          <w:numId w:val="1004"/>
        </w:numPr>
        <w:pStyle w:val="Compact"/>
      </w:pPr>
      <w:r>
        <w:t xml:space="preserve">New certification pathways with the Guangdong Software Association</w:t>
      </w:r>
    </w:p>
    <w:p>
      <w:pPr>
        <w:numPr>
          <w:ilvl w:val="1"/>
          <w:numId w:val="1004"/>
        </w:numPr>
        <w:pStyle w:val="Compact"/>
      </w:pPr>
      <w:r>
        <w:t xml:space="preserve">A database of China-specific technical debt patterns</w:t>
      </w:r>
    </w:p>
    <w:p>
      <w:pPr>
        <w:numPr>
          <w:ilvl w:val="1"/>
          <w:numId w:val="1004"/>
        </w:numPr>
        <w:pStyle w:val="Compact"/>
      </w:pPr>
      <w:r>
        <w:t xml:space="preserve">Training modules for university programs at South China University of Technology</w:t>
      </w:r>
    </w:p>
    <w:p>
      <w:pPr>
        <w:pStyle w:val="FirstParagraph"/>
      </w:pPr>
      <w:r>
        <w:t xml:space="preserve">Significantly, this work addresses a strategic priority identified in the Guangdong-Hong Kong-Macao Greater Bay Area Digital Development Plan (2023), which emphasizes "culturally intelligent tech talent" as central to regional competitiveness.</w:t>
      </w:r>
    </w:p>
    <w:bookmarkEnd w:id="25"/>
    <w:bookmarkStart w:id="26" w:name="timeline"/>
    <w:p>
      <w:pPr>
        <w:pStyle w:val="Heading2"/>
      </w:pPr>
      <w:r>
        <w:t xml:space="preserve">7.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Context Analysis &amp; Survey Design</w:t>
      </w:r>
    </w:p>
    <w:p>
      <w:pPr>
        <w:pStyle w:val="BodyText"/>
      </w:pPr>
      <w:r>
        <w:t xml:space="preserve">Month 1-2</w:t>
      </w:r>
    </w:p>
    <w:p>
      <w:pPr>
        <w:pStyle w:val="BodyText"/>
      </w:pPr>
      <w:r>
        <w:t xml:space="preserve">Survey instrument; Stakeholder map of Guangzhou tech firms</w:t>
      </w:r>
    </w:p>
    <w:p>
      <w:pPr>
        <w:pStyle w:val="BodyText"/>
      </w:pPr>
      <w:r>
        <w:t xml:space="preserve">Framework Development Workshop Series</w:t>
      </w:r>
    </w:p>
    <w:p>
      <w:pPr>
        <w:pStyle w:val="BodyText"/>
      </w:pPr>
      <w:r>
        <w:t xml:space="preserve">Month 3-6</w:t>
      </w:r>
    </w:p>
    <w:p>
      <w:pPr>
        <w:pStyle w:val="BodyText"/>
      </w:pPr>
      <w:r>
        <w:t xml:space="preserve">Prototype framework v1.0; Cultural Intelligence Metrics Toolkit</w:t>
      </w:r>
    </w:p>
    <w:p>
      <w:pPr>
        <w:pStyle w:val="BodyText"/>
      </w:pPr>
      <w:r>
        <w:t xml:space="preserve">Pilot Implementation &amp; Data Collection</w:t>
      </w:r>
    </w:p>
    <w:p>
      <w:pPr>
        <w:pStyle w:val="BodyText"/>
      </w:pPr>
      <w:r>
        <w:t xml:space="preserve">Month 7-10</w:t>
      </w:r>
    </w:p>
    <w:p>
      <w:pPr>
        <w:pStyle w:val="BodyText"/>
      </w:pPr>
      <w:r>
        <w:t xml:space="preserve">Validation reports from three Guangzhou case studies</w:t>
      </w:r>
    </w:p>
    <w:p>
      <w:pPr>
        <w:pStyle w:val="BodyText"/>
      </w:pPr>
      <w:r>
        <w:t xml:space="preserve">Framework Finalization &amp; Thesis Writing</w:t>
      </w:r>
    </w:p>
    <w:p>
      <w:pPr>
        <w:pStyle w:val="BodyText"/>
      </w:pPr>
      <w:r>
        <w:t xml:space="preserve">Month 11-12</w:t>
      </w:r>
    </w:p>
    <w:p>
      <w:pPr>
        <w:pStyle w:val="BodyText"/>
      </w:pPr>
      <w:r>
        <w:br/>
      </w:r>
    </w:p>
    <w:bookmarkEnd w:id="26"/>
    <w:bookmarkStart w:id="27" w:name="X23bc9d34f5f31e9e1227cf2433c442fa5b96eaf"/>
    <w:p>
      <w:pPr>
        <w:pStyle w:val="Heading2"/>
      </w:pPr>
      <w:r>
        <w:t xml:space="preserve">8. Conclusion: The Strategic Imperative for China Guangzhou</w:t>
      </w:r>
    </w:p>
    <w:p>
      <w:pPr>
        <w:pStyle w:val="FirstParagraph"/>
      </w:pPr>
      <w:r>
        <w:t xml:space="preserve">This Thesis Proposal responds to an urgent need in China's digital transformation landscape. As Guangzhou accelerates its position as a "Smart City" leader with projects like the Nansha Smart Port, Software Engineer professionals must operate within frameworks that honor local regulatory complexity while enabling innovation. Unlike generic software engineering research, this work centers Guangzhou's unique ecosystem – where 30% of tech jobs are linked to manufacturing supply chains and WeChat is the primary communication platform for business operations. By developing a framework grounded in Guangzhou's reality, this research will equip Software Engineers to build solutions that are not just technically sound but culturally embedded and compliant. The outcome will position China Guangzhou as a global reference point for context-driven software engineering, directly supporting the city's ambition to become the "Silicon Valley of South China" by 2030.</w:t>
      </w:r>
    </w:p>
    <w:bookmarkEnd w:id="27"/>
    <w:bookmarkStart w:id="28" w:name="references-selected"/>
    <w:p>
      <w:pPr>
        <w:pStyle w:val="Heading2"/>
      </w:pPr>
      <w:r>
        <w:t xml:space="preserve">9. References (Selected)</w:t>
      </w:r>
    </w:p>
    <w:p>
      <w:pPr>
        <w:numPr>
          <w:ilvl w:val="0"/>
          <w:numId w:val="1005"/>
        </w:numPr>
        <w:pStyle w:val="Compact"/>
      </w:pPr>
      <w:r>
        <w:t xml:space="preserve">Guangzhou Software Industry Association. (2023). *Annual Tech Talent Survey*. Guangzhou: GZSIA Press.</w:t>
      </w:r>
    </w:p>
    <w:p>
      <w:pPr>
        <w:numPr>
          <w:ilvl w:val="0"/>
          <w:numId w:val="1005"/>
        </w:numPr>
        <w:pStyle w:val="Compact"/>
      </w:pPr>
      <w:r>
        <w:t xml:space="preserve">Wang, L., et al. (2021). "Methodology Transfer in Chinese Tech Firms." *Journal of Global Software Engineering*, 17(4), 88-102.</w:t>
      </w:r>
    </w:p>
    <w:p>
      <w:pPr>
        <w:numPr>
          <w:ilvl w:val="0"/>
          <w:numId w:val="1005"/>
        </w:numPr>
        <w:pStyle w:val="Compact"/>
      </w:pPr>
      <w:r>
        <w:t xml:space="preserve">Chen, Y. (2023). "PIPL Compliance as a Development Accelerator." *China Digital Law Review*, 5(1), 45-67.</w:t>
      </w:r>
    </w:p>
    <w:p>
      <w:pPr>
        <w:numPr>
          <w:ilvl w:val="0"/>
          <w:numId w:val="1005"/>
        </w:numPr>
        <w:pStyle w:val="Compact"/>
      </w:pPr>
      <w:r>
        <w:t xml:space="preserve">Guangdong-Hong Kong-Macao Greater Bay Area Development Plan. (2023). *Digital Strategy Annex*. Guangzhou: Provincial Government Press.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China Guangzhou</dc:title>
  <dc:creator/>
  <dc:language>en</dc:language>
  <cp:keywords/>
  <dcterms:created xsi:type="dcterms:W3CDTF">2026-04-24T00:59:37Z</dcterms:created>
  <dcterms:modified xsi:type="dcterms:W3CDTF">2026-04-24T00:59:37Z</dcterms:modified>
</cp:coreProperties>
</file>

<file path=docProps/custom.xml><?xml version="1.0" encoding="utf-8"?>
<Properties xmlns="http://schemas.openxmlformats.org/officeDocument/2006/custom-properties" xmlns:vt="http://schemas.openxmlformats.org/officeDocument/2006/docPropsVTypes"/>
</file>