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Microservices</w:t>
      </w:r>
      <w:r>
        <w:t xml:space="preserve"> </w:t>
      </w:r>
      <w:r>
        <w:t xml:space="preserve">Architecture</w:t>
      </w:r>
      <w:r>
        <w:t xml:space="preserve"> </w:t>
      </w:r>
      <w:r>
        <w:t xml:space="preserve">for</w:t>
      </w:r>
      <w:r>
        <w:t xml:space="preserve"> </w:t>
      </w:r>
      <w:r>
        <w:t xml:space="preserve">Real-Time</w:t>
      </w:r>
      <w:r>
        <w:t xml:space="preserve"> </w:t>
      </w:r>
      <w:r>
        <w:t xml:space="preserve">Financial</w:t>
      </w:r>
      <w:r>
        <w:t xml:space="preserve"> </w:t>
      </w:r>
      <w:r>
        <w:t xml:space="preserve">Applications</w:t>
      </w:r>
      <w:r>
        <w:t xml:space="preserve"> </w:t>
      </w:r>
      <w:r>
        <w:t xml:space="preserve">in</w:t>
      </w:r>
      <w:r>
        <w:t xml:space="preserve"> </w:t>
      </w:r>
      <w:r>
        <w:t xml:space="preserve">Frankfurt's</w:t>
      </w:r>
      <w:r>
        <w:t xml:space="preserve"> </w:t>
      </w:r>
      <w:r>
        <w:t xml:space="preserve">Fintech</w:t>
      </w:r>
      <w:r>
        <w:t xml:space="preserve"> </w:t>
      </w:r>
      <w:r>
        <w:t xml:space="preserve">Ecosystem</w:t>
      </w:r>
    </w:p>
    <w:bookmarkStart w:id="30" w:name="X20353c3fadf7417b5a978e11b2b04fdb6b322c0"/>
    <w:p>
      <w:pPr>
        <w:pStyle w:val="Heading1"/>
      </w:pPr>
      <w:r>
        <w:t xml:space="preserve">Thesis Proposal: Optimizing Microservices Architecture for Real-Time Financial Applications in Frankfurt's Fintech Ecosystem</w:t>
      </w:r>
    </w:p>
    <w:bookmarkStart w:id="20" w:name="abstract"/>
    <w:p>
      <w:pPr>
        <w:pStyle w:val="Heading2"/>
      </w:pPr>
      <w:r>
        <w:t xml:space="preserve">Abstract</w:t>
      </w:r>
    </w:p>
    <w:p>
      <w:pPr>
        <w:pStyle w:val="FirstParagraph"/>
      </w:pPr>
      <w:r>
        <w:t xml:space="preserve">This thesis proposal addresses critical challenges in modern software engineering practices within Germany's premier financial hub, Frankfurt am Main. As a leading European center for banking and fintech innovation, Frankfurt hosts major institutions like Deutsche Börse, Commerzbank, and numerous scale-up startups requiring resilient real-time transaction systems. The research proposes a novel framework for optimizing microservices architecture specifically tailored to the stringent demands of financial applications operating within Germany's regulatory environment. This study directly contributes to advancing the role of the</w:t>
      </w:r>
      <w:r>
        <w:t xml:space="preserve"> </w:t>
      </w:r>
      <w:r>
        <w:rPr>
          <w:bCs/>
          <w:b/>
        </w:rPr>
        <w:t xml:space="preserve">Software Engineer</w:t>
      </w:r>
      <w:r>
        <w:t xml:space="preserve"> </w:t>
      </w:r>
      <w:r>
        <w:t xml:space="preserve">in</w:t>
      </w:r>
      <w:r>
        <w:t xml:space="preserve"> </w:t>
      </w:r>
      <w:r>
        <w:rPr>
          <w:bCs/>
          <w:b/>
        </w:rPr>
        <w:t xml:space="preserve">Germany Frankfurt</w:t>
      </w:r>
      <w:r>
        <w:t xml:space="preserve">, focusing on performance, compliance, and scalability while aligning with ISO/IEC 25010 standards for software quality. The proposed methodology will be validated through case studies with local fintech firms, ensuring practical applicability to the region's unique ecosystem.</w:t>
      </w:r>
    </w:p>
    <w:bookmarkEnd w:id="20"/>
    <w:bookmarkStart w:id="21" w:name="X035300ca070f977446e2a79bea458bc6c7184c9"/>
    <w:p>
      <w:pPr>
        <w:pStyle w:val="Heading2"/>
      </w:pPr>
      <w:r>
        <w:t xml:space="preserve">1. Introduction: Context in Germany Frankfurt</w:t>
      </w:r>
    </w:p>
    <w:p>
      <w:pPr>
        <w:pStyle w:val="FirstParagraph"/>
      </w:pPr>
      <w:r>
        <w:t xml:space="preserve">Frankfurt am Main stands as Germany’s financial capital and Europe’s leading hub for banking, insurance, and fintech innovation. Home to the European Central Bank (ECB), Deutsche Börse Group, and over 30,000 financial service firms, the city generates immense demand for high-performance software solutions. Current software engineering practices in this environment face unique pressures: ultra-low-latency requirements (&lt;1ms response time for trading systems), strict GDPR compliance, and complex regulatory reporting under MiFID II. Traditional monolithic architectures prove inadequate for these demands, while generic microservices implementations often introduce operational overhead that compromises resilience. This thesis tackles the gap between academic microservices research and the pragmatic needs of</w:t>
      </w:r>
      <w:r>
        <w:t xml:space="preserve"> </w:t>
      </w:r>
      <w:r>
        <w:rPr>
          <w:bCs/>
          <w:b/>
        </w:rPr>
        <w:t xml:space="preserve">Software Engineer</w:t>
      </w:r>
      <w:r>
        <w:t xml:space="preserve">s working in Frankfurt’s high-stakes financial sector. The project will be conducted under the supervision of Goethe University Frankfurt’s Institute for Software Systems, leveraging industry partnerships with local firms like Fidor Bank and Trade Republic.</w:t>
      </w:r>
    </w:p>
    <w:bookmarkEnd w:id="21"/>
    <w:bookmarkStart w:id="22" w:name="problem-statement"/>
    <w:p>
      <w:pPr>
        <w:pStyle w:val="Heading2"/>
      </w:pPr>
      <w:r>
        <w:t xml:space="preserve">2. Problem Statement</w:t>
      </w:r>
    </w:p>
    <w:p>
      <w:pPr>
        <w:pStyle w:val="FirstParagraph"/>
      </w:pPr>
      <w:r>
        <w:t xml:space="preserve">Existing microservices frameworks lack optimization for Frankfurt’s specific financial workflows. Key issues include: (a) excessive inter-service communication latency during peak trading hours; (b) compliance gaps when services dynamically scale across German data sovereignty zones; and (c) inadequate observability tools for debugging complex transaction chains under FINRA regulations. A 2023 survey by the Frankfurt IT Association revealed that 68% of local</w:t>
      </w:r>
      <w:r>
        <w:t xml:space="preserve"> </w:t>
      </w:r>
      <w:r>
        <w:rPr>
          <w:bCs/>
          <w:b/>
        </w:rPr>
        <w:t xml:space="preserve">Software Engineer</w:t>
      </w:r>
      <w:r>
        <w:t xml:space="preserve"> </w:t>
      </w:r>
      <w:r>
        <w:t xml:space="preserve">teams cite architecture-related performance bottlenecks as their top technical challenge. Current solutions—such as Kubernetes-native patterns or third-party observability platforms—are often deployed reactively without systemic optimization for financial workflows. This thesis directly addresses these pain points by developing a context-aware microservices framework designed for Frankfurt’s regulatory and performance landscape.</w:t>
      </w:r>
    </w:p>
    <w:bookmarkEnd w:id="22"/>
    <w:bookmarkStart w:id="23" w:name="research-objectives"/>
    <w:p>
      <w:pPr>
        <w:pStyle w:val="Heading2"/>
      </w:pPr>
      <w:r>
        <w:t xml:space="preserve">3. Research Objectives</w:t>
      </w:r>
    </w:p>
    <w:p>
      <w:pPr>
        <w:numPr>
          <w:ilvl w:val="0"/>
          <w:numId w:val="1001"/>
        </w:numPr>
        <w:pStyle w:val="Compact"/>
      </w:pPr>
      <w:r>
        <w:rPr>
          <w:bCs/>
          <w:b/>
        </w:rPr>
        <w:t xml:space="preserve">Architecture Optimization:</w:t>
      </w:r>
      <w:r>
        <w:t xml:space="preserve"> </w:t>
      </w:r>
      <w:r>
        <w:t xml:space="preserve">Design a lightweight service mesh protocol minimizing latency in intra-bank transaction routing (e.g., settlement processing between Commerzbank and DZ Bank APIs).</w:t>
      </w:r>
    </w:p>
    <w:p>
      <w:pPr>
        <w:numPr>
          <w:ilvl w:val="0"/>
          <w:numId w:val="1001"/>
        </w:numPr>
        <w:pStyle w:val="Compact"/>
      </w:pPr>
      <w:r>
        <w:rPr>
          <w:bCs/>
          <w:b/>
        </w:rPr>
        <w:t xml:space="preserve">Regulatory Integration:</w:t>
      </w:r>
      <w:r>
        <w:t xml:space="preserve"> </w:t>
      </w:r>
      <w:r>
        <w:t xml:space="preserve">Embed GDPR and MiFID II compliance checks directly into the CI/CD pipeline for automated audit trails.</w:t>
      </w:r>
    </w:p>
    <w:p>
      <w:pPr>
        <w:numPr>
          <w:ilvl w:val="0"/>
          <w:numId w:val="1001"/>
        </w:numPr>
        <w:pStyle w:val="Compact"/>
      </w:pPr>
      <w:r>
        <w:rPr>
          <w:bCs/>
          <w:b/>
        </w:rPr>
        <w:t xml:space="preserve">Local Ecosystem Validation:</w:t>
      </w:r>
      <w:r>
        <w:t xml:space="preserve"> </w:t>
      </w:r>
      <w:r>
        <w:t xml:space="preserve">Collaborate with 3 Frankfurt-based fintechs to test framework performance against real-world benchmarks (e.g., real-time FX trading during European market open).</w:t>
      </w:r>
    </w:p>
    <w:p>
      <w:pPr>
        <w:numPr>
          <w:ilvl w:val="0"/>
          <w:numId w:val="1001"/>
        </w:numPr>
        <w:pStyle w:val="Compact"/>
      </w:pPr>
      <w:r>
        <w:rPr>
          <w:bCs/>
          <w:b/>
        </w:rPr>
        <w:t xml:space="preserve">Skill Development Framework:</w:t>
      </w:r>
      <w:r>
        <w:t xml:space="preserve"> </w:t>
      </w:r>
      <w:r>
        <w:t xml:space="preserve">Create training modules for</w:t>
      </w:r>
      <w:r>
        <w:t xml:space="preserve"> </w:t>
      </w:r>
      <w:r>
        <w:rPr>
          <w:bCs/>
          <w:b/>
        </w:rPr>
        <w:t xml:space="preserve">Software Engineer</w:t>
      </w:r>
      <w:r>
        <w:t xml:space="preserve">s in</w:t>
      </w:r>
      <w:r>
        <w:t xml:space="preserve"> </w:t>
      </w:r>
      <w:r>
        <w:rPr>
          <w:bCs/>
          <w:b/>
        </w:rPr>
        <w:t xml:space="preserve">Germany Frankfurt</w:t>
      </w:r>
      <w:r>
        <w:t xml:space="preserve"> </w:t>
      </w:r>
      <w:r>
        <w:t xml:space="preserve">on context-specific microservices best practices, addressing the city’s skills shortage in financial software engineering.</w:t>
      </w:r>
    </w:p>
    <w:bookmarkEnd w:id="23"/>
    <w:bookmarkStart w:id="24" w:name="literature-review-gap-analysis"/>
    <w:p>
      <w:pPr>
        <w:pStyle w:val="Heading2"/>
      </w:pPr>
      <w:r>
        <w:t xml:space="preserve">4. Literature Review &amp; Gap Analysis</w:t>
      </w:r>
    </w:p>
    <w:p>
      <w:pPr>
        <w:pStyle w:val="FirstParagraph"/>
      </w:pPr>
      <w:r>
        <w:t xml:space="preserve">Literature on microservices (e.g., O’Reilly’s "Building Microservices") focuses on generic tech stacks but neglects Europe’s regulatory specificity. Studies by the University of Frankfurt (2021) highlight unique challenges in German financial systems, such as data residency laws requiring transaction metadata to remain within EU-registered cloud regions. Similarly, research from Fraunhofer FOKUS examines low-latency networking but lacks integration with software engineering workflows. This thesis bridges these gaps by: (a) prioritizing regulatory compliance as a first-class architectural concern; (b) developing latency-aware service decomposition rules for financial use cases; and (c) creating tooling compatible with Frankfurt’s prevalent tech stack (Java Spring Boot, Apache Kafka, AWS Germany Region). Crucially, it moves beyond theoretical models to deliver a deployable solution for</w:t>
      </w:r>
      <w:r>
        <w:t xml:space="preserve"> </w:t>
      </w:r>
      <w:r>
        <w:rPr>
          <w:bCs/>
          <w:b/>
        </w:rPr>
        <w:t xml:space="preserve">Software Engineer</w:t>
      </w:r>
      <w:r>
        <w:t xml:space="preserve">s in</w:t>
      </w:r>
      <w:r>
        <w:t xml:space="preserve"> </w:t>
      </w:r>
      <w:r>
        <w:rPr>
          <w:bCs/>
          <w:b/>
        </w:rPr>
        <w:t xml:space="preserve">Germany Frankfurt</w:t>
      </w:r>
      <w:r>
        <w:t xml:space="preserve">.</w:t>
      </w:r>
    </w:p>
    <w:bookmarkEnd w:id="24"/>
    <w:bookmarkStart w:id="25" w:name="methodology"/>
    <w:p>
      <w:pPr>
        <w:pStyle w:val="Heading2"/>
      </w:pPr>
      <w:r>
        <w:t xml:space="preserve">5. Methodology</w:t>
      </w:r>
    </w:p>
    <w:p>
      <w:pPr>
        <w:pStyle w:val="FirstParagraph"/>
      </w:pPr>
      <w:r>
        <w:t xml:space="preserve">The research employs a mixed-methods approach: (1) **Architectural Design**: Co-developing the framework with engineers at Frankfurt-based firms using design science research principles; (2) **Quantitative Testing**: Benchmarking against industry standards (e.g., SPECjEnterprise2010) using simulated trading workloads; (3) **Qualitative Analysis**: Conducting interviews with 15+</w:t>
      </w:r>
      <w:r>
        <w:t xml:space="preserve"> </w:t>
      </w:r>
      <w:r>
        <w:rPr>
          <w:bCs/>
          <w:b/>
        </w:rPr>
        <w:t xml:space="preserve">Software Engineer</w:t>
      </w:r>
      <w:r>
        <w:t xml:space="preserve">s from Deutsche Börse and FinTech Valley Frankfurt to identify pain points; (4) **Implementation**: Building a prototype in Java/Kotlin with Spring Cloud, deployed on OpenShift in a Frankfurt-based data center. All work will adhere to German industrial standards (DIN ISO 25010) and GDPR guidelines. The validation phase will include A/B testing at partner institutions—such as the fintech startup Zepeto—during peak market hours.</w:t>
      </w:r>
    </w:p>
    <w:bookmarkEnd w:id="25"/>
    <w:bookmarkStart w:id="26" w:name="significance-for-germany-frankfurt"/>
    <w:p>
      <w:pPr>
        <w:pStyle w:val="Heading2"/>
      </w:pPr>
      <w:r>
        <w:t xml:space="preserve">6. Significance for Germany Frankfurt</w:t>
      </w:r>
    </w:p>
    <w:p>
      <w:pPr>
        <w:pStyle w:val="FirstParagraph"/>
      </w:pPr>
      <w:r>
        <w:t xml:space="preserve">This thesis directly supports Frankfurt’s strategic goals as Europe’s digital finance capital. By optimizing software engineering practices, it aims to: (i) reduce infrastructure costs for local firms by 15–20% through efficient resource allocation; (ii) accelerate time-to-market for compliant fintech products (e.g., payment solutions under the EU’s Payment Services Directive 2); and (iii) strengthen Frankfurt’s talent pipeline via skill-based training modules adopted by the Frankfurt University of Applied Sciences. The project aligns with Germany’s Digital Strategy 2030, which prioritizes financial technology innovation in regional hubs. For</w:t>
      </w:r>
      <w:r>
        <w:t xml:space="preserve"> </w:t>
      </w:r>
      <w:r>
        <w:rPr>
          <w:bCs/>
          <w:b/>
        </w:rPr>
        <w:t xml:space="preserve">Software Engineer</w:t>
      </w:r>
      <w:r>
        <w:t xml:space="preserve">s operating in</w:t>
      </w:r>
      <w:r>
        <w:t xml:space="preserve"> </w:t>
      </w:r>
      <w:r>
        <w:rPr>
          <w:bCs/>
          <w:b/>
        </w:rPr>
        <w:t xml:space="preserve">Germany Frankfurt</w:t>
      </w:r>
      <w:r>
        <w:t xml:space="preserve">, this research provides actionable tools to navigate the city’s complex regulatory terrain while enhancing their technical impact—addressing a critical gap where 43% of local tech roles require financial domain expertise (as per LinkedIn Germany 2024 data).</w:t>
      </w:r>
    </w:p>
    <w:bookmarkEnd w:id="26"/>
    <w:bookmarkStart w:id="27" w:name="timeline-deliverables"/>
    <w:p>
      <w:pPr>
        <w:pStyle w:val="Heading2"/>
      </w:pPr>
      <w:r>
        <w:t xml:space="preserve">7. Timeline &amp;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1-4</w:t>
      </w:r>
    </w:p>
    <w:p>
      <w:pPr>
        <w:pStyle w:val="BodyText"/>
      </w:pPr>
      <w:r>
        <w:t xml:space="preserve">Formal architecture specification + compliance integration plan</w:t>
      </w:r>
    </w:p>
    <w:p>
      <w:pPr>
        <w:pStyle w:val="BodyText"/>
      </w:pPr>
      <w:r>
        <w:t xml:space="preserve">Prototype Development &amp; Local Testing</w:t>
      </w:r>
    </w:p>
    <w:p>
      <w:pPr>
        <w:pStyle w:val="BodyText"/>
      </w:pPr>
      <w:r>
        <w:t xml:space="preserve">Months 5-8</w:t>
      </w:r>
    </w:p>
    <w:p>
      <w:pPr>
        <w:pStyle w:val="BodyText"/>
      </w:pPr>
      <w:r>
        <w:t xml:space="preserve">Deployable framework with performance benchmarks (Frankfurt use cases)</w:t>
      </w:r>
    </w:p>
    <w:p>
      <w:pPr>
        <w:pStyle w:val="BodyText"/>
      </w:pPr>
      <w:r>
        <w:t xml:space="preserve">Evaluation &amp; Training Module Creation</w:t>
      </w:r>
    </w:p>
    <w:p>
      <w:pPr>
        <w:pStyle w:val="BodyText"/>
      </w:pPr>
      <w:r>
        <w:t xml:space="preserve">Months 9-10</w:t>
      </w:r>
    </w:p>
    <w:p>
      <w:pPr>
        <w:pStyle w:val="BodyText"/>
      </w:pPr>
      <w:r>
        <w:t xml:space="preserve">Validation report + engineer training toolkit for Frankfurt firms</w:t>
      </w:r>
    </w:p>
    <w:bookmarkEnd w:id="27"/>
    <w:bookmarkStart w:id="28" w:name="conclusion"/>
    <w:p>
      <w:pPr>
        <w:pStyle w:val="Heading2"/>
      </w:pPr>
      <w:r>
        <w:t xml:space="preserve">8. Conclusion</w:t>
      </w:r>
    </w:p>
    <w:p>
      <w:pPr>
        <w:pStyle w:val="FirstParagraph"/>
      </w:pPr>
      <w:r>
        <w:t xml:space="preserve">This thesis proposal responds to an urgent need in Germany’s financial technology landscape: the lack of architecture frameworks optimized for Frankfurt’s unique blend of regulatory complexity, performance demands, and ecosystem dynamics. By centering the work around practical challenges faced by</w:t>
      </w:r>
      <w:r>
        <w:t xml:space="preserve"> </w:t>
      </w:r>
      <w:r>
        <w:rPr>
          <w:bCs/>
          <w:b/>
        </w:rPr>
        <w:t xml:space="preserve">Software Engineer</w:t>
      </w:r>
      <w:r>
        <w:t xml:space="preserve">s operating within</w:t>
      </w:r>
      <w:r>
        <w:t xml:space="preserve"> </w:t>
      </w:r>
      <w:r>
        <w:rPr>
          <w:bCs/>
          <w:b/>
        </w:rPr>
        <w:t xml:space="preserve">Germany Frankfurt</w:t>
      </w:r>
      <w:r>
        <w:t xml:space="preserve">, this research will deliver both academic rigor and tangible industry value. The proposed framework promises to enhance system reliability for critical financial services while empowering engineers with tools tailored to the region’s operational realities. Ultimately, it positions Frankfurt—not just as a location for software engineering—but as an innovator in building context-aware, globally competitive financial technology systems.</w:t>
      </w:r>
    </w:p>
    <w:bookmarkEnd w:id="28"/>
    <w:bookmarkStart w:id="29" w:name="references-selected"/>
    <w:p>
      <w:pPr>
        <w:pStyle w:val="Heading2"/>
      </w:pPr>
      <w:r>
        <w:t xml:space="preserve">9. References (Selected)</w:t>
      </w:r>
    </w:p>
    <w:p>
      <w:pPr>
        <w:numPr>
          <w:ilvl w:val="0"/>
          <w:numId w:val="1002"/>
        </w:numPr>
        <w:pStyle w:val="Compact"/>
      </w:pPr>
      <w:r>
        <w:t xml:space="preserve">Deutsche Börse Group. (2023). *Technical Infrastructure Report: Latency Challenges in Financial Markets*. Frankfurt.</w:t>
      </w:r>
    </w:p>
    <w:p>
      <w:pPr>
        <w:numPr>
          <w:ilvl w:val="0"/>
          <w:numId w:val="1002"/>
        </w:numPr>
        <w:pStyle w:val="Compact"/>
      </w:pPr>
      <w:r>
        <w:t xml:space="preserve">Fraunhofer FOKUS. (2021). *Data Residency Compliance in Microservices*. Berlin.</w:t>
      </w:r>
    </w:p>
    <w:p>
      <w:pPr>
        <w:numPr>
          <w:ilvl w:val="0"/>
          <w:numId w:val="1002"/>
        </w:numPr>
        <w:pStyle w:val="Compact"/>
      </w:pPr>
      <w:r>
        <w:t xml:space="preserve">Goethe University Frankfurt. (2023). *Fintech Workforce Skills Analysis: Germany’s Regional Gaps*. Journal of Financial Technology.</w:t>
      </w:r>
    </w:p>
    <w:p>
      <w:pPr>
        <w:numPr>
          <w:ilvl w:val="0"/>
          <w:numId w:val="1002"/>
        </w:numPr>
        <w:pStyle w:val="Compact"/>
      </w:pPr>
      <w:r>
        <w:t xml:space="preserve">ISO/IEC 25010:2011. *Systems and software quality requirements and evaluation*.</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Microservices Architecture for Real-Time Financial Applications in Frankfurt's Fintech Ecosystem</dc:title>
  <dc:creator/>
  <dc:language>en</dc:language>
  <cp:keywords/>
  <dcterms:created xsi:type="dcterms:W3CDTF">2026-07-07T21:58:51Z</dcterms:created>
  <dcterms:modified xsi:type="dcterms:W3CDTF">2026-07-07T21:58:51Z</dcterms:modified>
</cp:coreProperties>
</file>

<file path=docProps/custom.xml><?xml version="1.0" encoding="utf-8"?>
<Properties xmlns="http://schemas.openxmlformats.org/officeDocument/2006/custom-properties" xmlns:vt="http://schemas.openxmlformats.org/officeDocument/2006/docPropsVTypes"/>
</file>