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f72abdf5f692234a8f57a0aa0f00492fb58d83d"/>
    <w:p>
      <w:pPr>
        <w:pStyle w:val="Heading1"/>
      </w:pPr>
      <w:r>
        <w:t xml:space="preserve">Thesis Proposal: Advancing Software Engineering Practices for Sustainable Development in Kuwait City</w:t>
      </w:r>
    </w:p>
    <w:bookmarkStart w:id="20" w:name="introduction"/>
    <w:p>
      <w:pPr>
        <w:pStyle w:val="Heading2"/>
      </w:pPr>
      <w:r>
        <w:t xml:space="preserve">1. Introduction</w:t>
      </w:r>
    </w:p>
    <w:p>
      <w:pPr>
        <w:pStyle w:val="FirstParagraph"/>
      </w:pPr>
      <w:r>
        <w:t xml:space="preserve">Kuwait City, the vibrant capital of the State of Kuwait, stands at a pivotal moment in its digital transformation journey. As part of the national Vision 2035 initiative, Kuwait is aggressively pursuing economic diversification beyond oil dependency through technology-driven innovation. This strategic shift places Software Engineer professionals at the forefront of enabling smart city infrastructure, efficient public services, and competitive private sector growth. However, a significant gap exists between Kuwait's ambitious technological aspirations and the current maturity of software engineering practices within local organizations operating in Kuwait City. This Thesis Proposal outlines a comprehensive research initiative to address this critical gap through evidence-based improvements in software engineering methodologies tailored specifically for the Kuwaiti context.</w:t>
      </w:r>
    </w:p>
    <w:bookmarkEnd w:id="20"/>
    <w:bookmarkStart w:id="21" w:name="problem-statement"/>
    <w:p>
      <w:pPr>
        <w:pStyle w:val="Heading2"/>
      </w:pPr>
      <w:r>
        <w:t xml:space="preserve">2. Problem Statement</w:t>
      </w:r>
    </w:p>
    <w:p>
      <w:pPr>
        <w:pStyle w:val="FirstParagraph"/>
      </w:pPr>
      <w:r>
        <w:t xml:space="preserve">Despite substantial investment in IT infrastructure, Kuwait City faces persistent challenges in software development projects. Current studies (Al-Suwaidi et al., 2021) indicate that 68% of software projects in Kuwait City exceed timelines and budgets due to inadequate requirement analysis, insufficient testing protocols, and cultural mismatches with global agile frameworks. The absence of locally adapted software engineering standards creates inefficiencies in critical sectors like government digital services (e.g., Smart Kuwait initiatives), healthcare systems (e.g., Ministry of Health applications), and financial technology (fintech) startups concentrated in the Central Business District. This research directly addresses the urgent need for a contextualized Software Engineer framework that acknowledges Kuwait's unique socio-technical environment while aligning with international best practices.</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1"/>
        </w:numPr>
        <w:pStyle w:val="Compact"/>
      </w:pPr>
      <w:r>
        <w:rPr>
          <w:bCs/>
          <w:b/>
        </w:rPr>
        <w:t xml:space="preserve">Contextual Analysis:</w:t>
      </w:r>
      <w:r>
        <w:t xml:space="preserve"> </w:t>
      </w:r>
      <w:r>
        <w:t xml:space="preserve">Document current software engineering practices across 15+ organizations in Kuwait City, including government entities (e.g., Public Authority for Civil Information), major corporations (e.g., Kuwait Oil Company IT department), and tech startups (e.g., those in Al-Salam Innovation Hub).</w:t>
      </w:r>
    </w:p>
    <w:p>
      <w:pPr>
        <w:numPr>
          <w:ilvl w:val="0"/>
          <w:numId w:val="1001"/>
        </w:numPr>
        <w:pStyle w:val="Compact"/>
      </w:pPr>
      <w:r>
        <w:rPr>
          <w:bCs/>
          <w:b/>
        </w:rPr>
        <w:t xml:space="preserve">Framework Development:</w:t>
      </w:r>
      <w:r>
        <w:t xml:space="preserve"> </w:t>
      </w:r>
      <w:r>
        <w:t xml:space="preserve">Design a culturally adaptive Software Engineer methodology integrating agile principles with Kuwaiti workplace norms, religious considerations (e.g., prayer time scheduling), and local regulatory requirements under Kuwaiti Ministry of Commerce standards.</w:t>
      </w:r>
    </w:p>
    <w:p>
      <w:pPr>
        <w:numPr>
          <w:ilvl w:val="0"/>
          <w:numId w:val="1001"/>
        </w:numPr>
        <w:pStyle w:val="Compact"/>
      </w:pPr>
      <w:r>
        <w:rPr>
          <w:bCs/>
          <w:b/>
        </w:rPr>
        <w:t xml:space="preserve">Impact Assessment:</w:t>
      </w:r>
      <w:r>
        <w:t xml:space="preserve"> </w:t>
      </w:r>
      <w:r>
        <w:t xml:space="preserve">Quantify efficiency gains through pilot implementation in two Kuwait City-based organizations, measuring reductions in project delays, cost overruns, and stakeholder satisfaction using metrics aligned with PMBOK® and CMMI frameworks.</w:t>
      </w:r>
    </w:p>
    <w:bookmarkEnd w:id="22"/>
    <w:bookmarkStart w:id="23" w:name="literature-review-contextual-gap"/>
    <w:p>
      <w:pPr>
        <w:pStyle w:val="Heading2"/>
      </w:pPr>
      <w:r>
        <w:t xml:space="preserve">4. Literature Review (Contextual Gap)</w:t>
      </w:r>
    </w:p>
    <w:p>
      <w:pPr>
        <w:pStyle w:val="FirstParagraph"/>
      </w:pPr>
      <w:r>
        <w:t xml:space="preserve">Existing literature on software engineering focuses predominantly on Western or Asian contexts (e.g., IBM's agile case studies in Singapore, EU software quality reports). While regional studies exist for GCC countries (e.g., UAE's smart city frameworks), they neglect Kuwait City's specific challenges: its high expatriate workforce (80% of IT professionals), unique government procurement cycles, and the urgent need to develop indigenous technical talent. A 2023 Gulf IT Survey revealed only 12% of Kuwaiti Software Engineers report using locally validated methodologies—indicating a critical research void this proposal addresses.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 ensuring practical applicability for Kuwait City stakeholders:</w:t>
      </w:r>
    </w:p>
    <w:p>
      <w:pPr>
        <w:numPr>
          <w:ilvl w:val="0"/>
          <w:numId w:val="1002"/>
        </w:numPr>
        <w:pStyle w:val="Compact"/>
      </w:pPr>
      <w:r>
        <w:rPr>
          <w:bCs/>
          <w:b/>
        </w:rPr>
        <w:t xml:space="preserve">Phase 1 (3 months):</w:t>
      </w:r>
      <w:r>
        <w:t xml:space="preserve"> </w:t>
      </w:r>
      <w:r>
        <w:t xml:space="preserve">Qualitative analysis via semi-structured interviews with 30+ Software Engineers across Kuwait City's tech ecosystem, supplemented by document analysis of project retrospectives from major local firms.</w:t>
      </w:r>
    </w:p>
    <w:p>
      <w:pPr>
        <w:numPr>
          <w:ilvl w:val="0"/>
          <w:numId w:val="1002"/>
        </w:numPr>
        <w:pStyle w:val="Compact"/>
      </w:pPr>
      <w:r>
        <w:rPr>
          <w:bCs/>
          <w:b/>
        </w:rPr>
        <w:t xml:space="preserve">Phase 2 (4 months):</w:t>
      </w:r>
      <w:r>
        <w:t xml:space="preserve"> </w:t>
      </w:r>
      <w:r>
        <w:t xml:space="preserve">Co-design workshops with Kuwaiti software engineering teams at the Kuwait Institute for Scientific Research (KISR) and Bayanat to prototype the contextual methodology, incorporating feedback on cultural factors like team hierarchy preferences and work-life balance expectations.</w:t>
      </w:r>
    </w:p>
    <w:p>
      <w:pPr>
        <w:numPr>
          <w:ilvl w:val="0"/>
          <w:numId w:val="1002"/>
        </w:numPr>
        <w:pStyle w:val="Compact"/>
      </w:pPr>
      <w:r>
        <w:rPr>
          <w:bCs/>
          <w:b/>
        </w:rPr>
        <w:t xml:space="preserve">Phase 3 (5 months):</w:t>
      </w:r>
      <w:r>
        <w:t xml:space="preserve"> </w:t>
      </w:r>
      <w:r>
        <w:t xml:space="preserve">Quantitative pilot testing in two Kuwait City organizations: a government digital service project (e.g., e-Health portal development) and a private fintech startup. Metrics tracked include defect resolution time, sprint velocity, and stakeholder satisfaction scores.</w:t>
      </w:r>
    </w:p>
    <w:p>
      <w:pPr>
        <w:numPr>
          <w:ilvl w:val="0"/>
          <w:numId w:val="1002"/>
        </w:numPr>
        <w:pStyle w:val="Compact"/>
      </w:pPr>
      <w:r>
        <w:rPr>
          <w:bCs/>
          <w:b/>
        </w:rPr>
        <w:t xml:space="preserve">Analysis:</w:t>
      </w:r>
      <w:r>
        <w:t xml:space="preserve"> </w:t>
      </w:r>
      <w:r>
        <w:t xml:space="preserve">Comparative statistical analysis using SPSS to measure improvements against baseline data, with validation through focus groups at the Kuwait Computer Society.</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Software Engineer development in Kuwait City:</w:t>
      </w:r>
    </w:p>
    <w:p>
      <w:pPr>
        <w:numPr>
          <w:ilvl w:val="0"/>
          <w:numId w:val="1003"/>
        </w:numPr>
        <w:pStyle w:val="Compact"/>
      </w:pPr>
      <w:r>
        <w:rPr>
          <w:bCs/>
          <w:b/>
        </w:rPr>
        <w:t xml:space="preserve">Academic:</w:t>
      </w:r>
      <w:r>
        <w:t xml:space="preserve"> </w:t>
      </w:r>
      <w:r>
        <w:t xml:space="preserve">The first culturally validated software engineering framework for Gulf urban environments, published in journals like the International Journal of Software Engineering and Knowledge Engineering.</w:t>
      </w:r>
    </w:p>
    <w:p>
      <w:pPr>
        <w:numPr>
          <w:ilvl w:val="0"/>
          <w:numId w:val="1003"/>
        </w:numPr>
        <w:pStyle w:val="Compact"/>
      </w:pPr>
      <w:r>
        <w:rPr>
          <w:bCs/>
          <w:b/>
        </w:rPr>
        <w:t xml:space="preserve">Practical:</w:t>
      </w:r>
      <w:r>
        <w:t xml:space="preserve"> </w:t>
      </w:r>
      <w:r>
        <w:t xml:space="preserve">A deployable methodology toolkit (including templates for requirement elicitation considering Kuwaiti client communication styles and compliance checklists for local regulations) accessible to all Kuwait City software teams via a dedicated portal.</w:t>
      </w:r>
    </w:p>
    <w:p>
      <w:pPr>
        <w:numPr>
          <w:ilvl w:val="0"/>
          <w:numId w:val="1003"/>
        </w:numPr>
        <w:pStyle w:val="Compact"/>
      </w:pPr>
      <w:r>
        <w:rPr>
          <w:bCs/>
          <w:b/>
        </w:rPr>
        <w:t xml:space="preserve">Societal:</w:t>
      </w:r>
      <w:r>
        <w:t xml:space="preserve"> </w:t>
      </w:r>
      <w:r>
        <w:t xml:space="preserve">Direct support for Vision 2035 targets by increasing the efficiency of digital government services, reducing public sector costs by an estimated 25%, and creating a replicable model for talent development that lowers reliance on foreign technical expertise—addressing Kuwait's national priority to "Kuwaitize" critical IT roles.</w:t>
      </w:r>
    </w:p>
    <w:bookmarkEnd w:id="25"/>
    <w:bookmarkStart w:id="26" w:name="significance-for-kuwait-city"/>
    <w:p>
      <w:pPr>
        <w:pStyle w:val="Heading2"/>
      </w:pPr>
      <w:r>
        <w:t xml:space="preserve">7. Significance for Kuwait City</w:t>
      </w:r>
    </w:p>
    <w:p>
      <w:pPr>
        <w:pStyle w:val="FirstParagraph"/>
      </w:pPr>
      <w:r>
        <w:t xml:space="preserve">Kuwait City's rapid urbanization demands software systems that are not only technically robust but culturally resonant. This research directly responds to the city's strategic imperatives: its Smart City initiative requires software that accommodates local user behaviors, while the ongoing industrialization of services (e.g., e-government) necessitates reliable development cycles. By focusing on Software Engineer practices within Kuwait City's specific operational ecosystem—where factors like Ramadan work patterns, Arabic-language UI requirements, and public-sector procurement timelines dominate—we enable more resilient digital infrastructure. The outcome will empower Kuwaiti Software Engineers to lead innovation without compromising on quality or cultural alignment, positioning Kuwait City as a regional benchmark for contextually intelligent technology development.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 Mapping</w:t>
            </w:r>
          </w:p>
        </w:tc>
        <w:tc>
          <w:tcPr/>
          <w:p>
            <w:pPr>
              <w:pStyle w:val="Compact"/>
              <w:jc w:val="left"/>
            </w:pPr>
            <w:r>
              <w:t xml:space="preserve">Month 1-2</w:t>
            </w:r>
          </w:p>
        </w:tc>
        <w:tc>
          <w:tcPr/>
          <w:p>
            <w:pPr>
              <w:pStyle w:val="Compact"/>
              <w:jc w:val="left"/>
            </w:pPr>
            <w:r>
              <w:t xml:space="preserve">Cultural adaptation report; stakeholder map of Kuwait City tech ecosystem</w:t>
            </w:r>
          </w:p>
        </w:tc>
      </w:tr>
      <w:tr>
        <w:tc>
          <w:tcPr/>
          <w:p>
            <w:pPr>
              <w:pStyle w:val="Compact"/>
              <w:jc w:val="left"/>
            </w:pPr>
            <w:r>
              <w:t xml:space="preserve">Framework Design &amp; Co-Creation Workshops</w:t>
            </w:r>
          </w:p>
        </w:tc>
        <w:tc>
          <w:tcPr/>
          <w:p>
            <w:pPr>
              <w:pStyle w:val="Compact"/>
              <w:jc w:val="left"/>
            </w:pPr>
            <w:r>
              <w:t xml:space="preserve">Month 3-5</w:t>
            </w:r>
          </w:p>
        </w:tc>
        <w:tc>
          <w:tcPr/>
          <w:p>
            <w:pPr>
              <w:pStyle w:val="Compact"/>
              <w:jc w:val="left"/>
            </w:pPr>
            <w:r>
              <w:t xml:space="preserve">Proposed methodology blueprint; validated templates for local teams</w:t>
            </w:r>
          </w:p>
        </w:tc>
      </w:tr>
      <w:tr>
        <w:tc>
          <w:tcPr/>
          <w:p>
            <w:pPr>
              <w:pStyle w:val="Compact"/>
              <w:jc w:val="left"/>
            </w:pPr>
            <w:r>
              <w:t xml:space="preserve">Pilot Implementation &amp; Data Collection</w:t>
            </w:r>
          </w:p>
        </w:tc>
        <w:tc>
          <w:tcPr/>
          <w:p>
            <w:pPr>
              <w:pStyle w:val="Compact"/>
              <w:jc w:val="left"/>
            </w:pPr>
            <w:r>
              <w:t xml:space="preserve">Month 6-9</w:t>
            </w:r>
          </w:p>
        </w:tc>
        <w:tc>
          <w:tcPr/>
          <w:p>
            <w:pPr>
              <w:pStyle w:val="Compact"/>
              <w:jc w:val="left"/>
            </w:pPr>
            <w:r>
              <w:t xml:space="preserve">Pilot results report; comparative efficiency metrics (Kuwait City context)</w:t>
            </w:r>
          </w:p>
        </w:tc>
      </w:tr>
      <w:tr>
        <w:tc>
          <w:tcPr/>
          <w:p>
            <w:pPr>
              <w:pStyle w:val="Compact"/>
              <w:jc w:val="left"/>
            </w:pPr>
            <w:r>
              <w:t xml:space="preserve">Analysis, Dissemination &amp; Final Thesis Writing</w:t>
            </w:r>
          </w:p>
        </w:tc>
        <w:tc>
          <w:tcPr/>
          <w:p>
            <w:pPr>
              <w:pStyle w:val="Compact"/>
              <w:jc w:val="left"/>
            </w:pPr>
            <w:r>
              <w:t xml:space="preserve">Month 10-12</w:t>
            </w:r>
          </w:p>
        </w:tc>
        <w:tc>
          <w:tcPr/>
          <w:p>
            <w:pPr>
              <w:pStyle w:val="Compact"/>
              <w:jc w:val="left"/>
            </w:pPr>
            <w:r>
              <w:t xml:space="preserve">Completed thesis; toolkit for Kuwaiti Software Engineers; academic publications</w:t>
            </w:r>
          </w:p>
        </w:tc>
      </w:tr>
    </w:tbl>
    <w:bookmarkEnd w:id="27"/>
    <w:bookmarkStart w:id="28" w:name="conclusion"/>
    <w:p>
      <w:pPr>
        <w:pStyle w:val="Heading2"/>
      </w:pPr>
      <w:r>
        <w:t xml:space="preserve">9. Conclusion</w:t>
      </w:r>
    </w:p>
    <w:p>
      <w:pPr>
        <w:pStyle w:val="FirstParagraph"/>
      </w:pPr>
      <w:r>
        <w:t xml:space="preserve">The successful completion of this Thesis Proposal will establish a new standard for Software Engineer practice in Kuwait City, moving beyond generic global frameworks to create solutions that are truly rooted in Kuwaiti operational reality. It addresses the critical need for localized technical expertise that supports national development goals while empowering local talent. By directly engaging with software professionals across Kuwait City's diverse economic sectors—from government ministries to emerging startups—this research ensures practical relevance and immediate applicability. As Kuwait City accelerates its journey toward becoming a digital hub in the Gulf, this study provides the foundational methodology for building sustainable, efficient, and culturally intelligent software systems that serve both citizens and businesses. The outcome will not only enhance project success rates but also contribute significantly to national aspirations of technological sovereignty through world-class Software Engineer practices uniquely tailored for Kuwait City's dynamic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Kuwait City</dc:title>
  <dc:creator/>
  <dc:language>en</dc:language>
  <cp:keywords/>
  <dcterms:created xsi:type="dcterms:W3CDTF">2025-12-11T08:50:24Z</dcterms:created>
  <dcterms:modified xsi:type="dcterms:W3CDTF">2025-12-11T08:50:24Z</dcterms:modified>
</cp:coreProperties>
</file>

<file path=docProps/custom.xml><?xml version="1.0" encoding="utf-8"?>
<Properties xmlns="http://schemas.openxmlformats.org/officeDocument/2006/custom-properties" xmlns:vt="http://schemas.openxmlformats.org/officeDocument/2006/docPropsVTypes"/>
</file>