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7f722b379376e66cd9520b74bd6c45e2ee48420"/>
    <w:p>
      <w:pPr>
        <w:pStyle w:val="Heading1"/>
      </w:pPr>
      <w:r>
        <w:t xml:space="preserve">Thesis Proposal: Advancing the Software Engineer Profession in Russia's Saint Petersburg through Contextualized Education and Industry Collaboration</w:t>
      </w:r>
    </w:p>
    <w:bookmarkStart w:id="20" w:name="introduction"/>
    <w:p>
      <w:pPr>
        <w:pStyle w:val="Heading2"/>
      </w:pPr>
      <w:r>
        <w:t xml:space="preserve">1. Introduction</w:t>
      </w:r>
    </w:p>
    <w:p>
      <w:pPr>
        <w:pStyle w:val="FirstParagraph"/>
      </w:pPr>
      <w:r>
        <w:t xml:space="preserve">The rapid evolution of information technology demands a highly skilled and adaptable workforce. In the dynamic tech landscape of</w:t>
      </w:r>
      <w:r>
        <w:t xml:space="preserve"> </w:t>
      </w:r>
      <w:r>
        <w:rPr>
          <w:bCs/>
          <w:b/>
        </w:rPr>
        <w:t xml:space="preserve">Russia Saint Petersburg</w:t>
      </w:r>
      <w:r>
        <w:t xml:space="preserve">, a city historically renowned for its scientific excellence and increasingly recognized as a major European IT hub, the role of the</w:t>
      </w:r>
      <w:r>
        <w:t xml:space="preserve"> </w:t>
      </w:r>
      <w:r>
        <w:rPr>
          <w:iCs/>
          <w:i/>
        </w:rPr>
        <w:t xml:space="preserve">Software Engineer</w:t>
      </w:r>
      <w:r>
        <w:t xml:space="preserve"> </w:t>
      </w:r>
      <w:r>
        <w:t xml:space="preserve">is pivotal to economic resilience and innovation. Despite significant growth in Saint Petersburg's technology sector—home to over 15% of Russia's IT workforce and key players like Yandex, JetBrains, and numerous startups—there exists a critical gap between academic training programs and the evolving, context-specific demands of the local industry. This</w:t>
      </w:r>
      <w:r>
        <w:t xml:space="preserve"> </w:t>
      </w:r>
      <w:r>
        <w:rPr>
          <w:bCs/>
          <w:b/>
        </w:rPr>
        <w:t xml:space="preserve">Thesis Proposal</w:t>
      </w:r>
      <w:r>
        <w:t xml:space="preserve"> </w:t>
      </w:r>
      <w:r>
        <w:t xml:space="preserve">addresses this disconnect by proposing a comprehensive framework to modernize Software Engineer education and professional development within Saint Petersburg's unique socio-technical environment.</w:t>
      </w:r>
    </w:p>
    <w:bookmarkEnd w:id="20"/>
    <w:bookmarkStart w:id="21" w:name="problem-statement"/>
    <w:p>
      <w:pPr>
        <w:pStyle w:val="Heading2"/>
      </w:pPr>
      <w:r>
        <w:t xml:space="preserve">2. Problem Statement</w:t>
      </w:r>
    </w:p>
    <w:p>
      <w:pPr>
        <w:pStyle w:val="FirstParagraph"/>
      </w:pPr>
      <w:r>
        <w:t xml:space="preserve">The current trajectory of software engineering education in</w:t>
      </w:r>
      <w:r>
        <w:t xml:space="preserve"> </w:t>
      </w:r>
      <w:r>
        <w:rPr>
          <w:bCs/>
          <w:b/>
        </w:rPr>
        <w:t xml:space="preserve">Russia Saint Petersburg</w:t>
      </w:r>
      <w:r>
        <w:t xml:space="preserve"> </w:t>
      </w:r>
      <w:r>
        <w:t xml:space="preserve">often emphasizes theoretical computer science over practical, industry-aligned skills. Local universities graduate students with strong foundational knowledge but frequently lack exposure to real-world challenges endemic to the Russian market: stringent data localization laws (e.g., Federal Law No. 242-FZ), complex integration needs with legacy systems common in Russian enterprises, and the specific cultural and linguistic nuances of developing for domestic clients (including Cyrillic support, local payment gateways, and compliance frameworks). Furthermore, geopolitical shifts have intensified the need for</w:t>
      </w:r>
      <w:r>
        <w:t xml:space="preserve"> </w:t>
      </w:r>
      <w:r>
        <w:rPr>
          <w:iCs/>
          <w:i/>
        </w:rPr>
        <w:t xml:space="preserve">Software Engineer</w:t>
      </w:r>
      <w:r>
        <w:t xml:space="preserve"> </w:t>
      </w:r>
      <w:r>
        <w:t xml:space="preserve">professionals capable of operating within constrained global supply chains while maintaining high-quality standards. This gap undermines Saint Petersburg's potential to become a self-sustaining center of digital excellence in Eastern Europe.</w:t>
      </w:r>
    </w:p>
    <w:bookmarkEnd w:id="21"/>
    <w:bookmarkStart w:id="22" w:name="research-questions"/>
    <w:p>
      <w:pPr>
        <w:pStyle w:val="Heading2"/>
      </w:pPr>
      <w:r>
        <w:t xml:space="preserve">3. Research Questions</w:t>
      </w:r>
    </w:p>
    <w:p>
      <w:pPr>
        <w:pStyle w:val="FirstParagraph"/>
      </w:pPr>
      <w:r>
        <w:t xml:space="preserve">This research will investigate the following core questions:</w:t>
      </w:r>
    </w:p>
    <w:p>
      <w:pPr>
        <w:numPr>
          <w:ilvl w:val="0"/>
          <w:numId w:val="1001"/>
        </w:numPr>
        <w:pStyle w:val="Compact"/>
      </w:pPr>
      <w:r>
        <w:t xml:space="preserve">What are the most critical, context-specific skill gaps among graduating Software Engineer candidates in Saint Petersburg compared to industry requirements?</w:t>
      </w:r>
    </w:p>
    <w:p>
      <w:pPr>
        <w:numPr>
          <w:ilvl w:val="0"/>
          <w:numId w:val="1001"/>
        </w:numPr>
        <w:pStyle w:val="Compact"/>
      </w:pPr>
      <w:r>
        <w:t xml:space="preserve">How can academic curricula and industry partnerships be co-designed to embed practical experience with Russian regulatory frameworks, localization strategies, and agile methodologies prevalent in the Saint Petersburg ecosystem?</w:t>
      </w:r>
    </w:p>
    <w:p>
      <w:pPr>
        <w:numPr>
          <w:ilvl w:val="0"/>
          <w:numId w:val="1001"/>
        </w:numPr>
        <w:pStyle w:val="Compact"/>
      </w:pPr>
      <w:r>
        <w:t xml:space="preserve">What professional development pathways are most effective for enhancing the ethical decision-making capabilities of Software Engineers operating within Russia's unique technological governance landscape?</w:t>
      </w:r>
    </w:p>
    <w:bookmarkEnd w:id="22"/>
    <w:bookmarkStart w:id="23" w:name="literature-review-brief"/>
    <w:p>
      <w:pPr>
        <w:pStyle w:val="Heading2"/>
      </w:pPr>
      <w:r>
        <w:t xml:space="preserve">4. Literature Review (Brief)</w:t>
      </w:r>
    </w:p>
    <w:p>
      <w:pPr>
        <w:pStyle w:val="FirstParagraph"/>
      </w:pPr>
      <w:r>
        <w:t xml:space="preserve">Existing literature on software engineering education often focuses on Western contexts (e.g., ACM/IEEE guidelines). Studies by researchers like Margolis et al. (2019) highlight the importance of contextual learning but rarely address post-Soviet technological ecosystems. Research specific to Russia, such as works by Smirnov and Petrov (2021), points to high demand for engineers skilled in enterprise systems integration but lacks actionable frameworks for curriculum reform. Recent reports from the Russian IT Association emphasize Saint Petersburg's strategic importance yet note a 30% skills mismatch rate in its tech talent pool. This</w:t>
      </w:r>
      <w:r>
        <w:t xml:space="preserve"> </w:t>
      </w:r>
      <w:r>
        <w:rPr>
          <w:bCs/>
          <w:b/>
        </w:rPr>
        <w:t xml:space="preserve">Thesis Proposal</w:t>
      </w:r>
      <w:r>
        <w:t xml:space="preserve"> </w:t>
      </w:r>
      <w:r>
        <w:t xml:space="preserve">bridges this gap by focusing on the localized needs of</w:t>
      </w:r>
      <w:r>
        <w:t xml:space="preserve"> </w:t>
      </w:r>
      <w:r>
        <w:rPr>
          <w:iCs/>
          <w:i/>
        </w:rPr>
        <w:t xml:space="preserve">Software Engineer</w:t>
      </w:r>
      <w:r>
        <w:t xml:space="preserve"> </w:t>
      </w:r>
      <w:r>
        <w:t xml:space="preserve">professionals within</w:t>
      </w:r>
      <w:r>
        <w:t xml:space="preserve"> </w:t>
      </w:r>
      <w:r>
        <w:rPr>
          <w:bCs/>
          <w:b/>
        </w:rPr>
        <w:t xml:space="preserve">Russia Saint Petersburg</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an 18-month period:</w:t>
      </w:r>
    </w:p>
    <w:p>
      <w:pPr>
        <w:numPr>
          <w:ilvl w:val="0"/>
          <w:numId w:val="1002"/>
        </w:numPr>
        <w:pStyle w:val="Compact"/>
      </w:pPr>
      <w:r>
        <w:t xml:space="preserve">Phase 1 (Months 1-4):** Industry Needs Assessment. Conduct structured interviews and surveys with 30+ leading Saint Petersburg-based tech firms (e.g., Sberbank Tech, Mail.ru Group, SMEs) and academic stakeholders (ITMO University, St. Petersburg State University) to map critical skill requirements.</w:t>
      </w:r>
    </w:p>
    <w:p>
      <w:pPr>
        <w:numPr>
          <w:ilvl w:val="0"/>
          <w:numId w:val="1002"/>
        </w:numPr>
        <w:pStyle w:val="Compact"/>
      </w:pPr>
      <w:r>
        <w:t xml:space="preserve">Phase 2 (Months 5-10):** Curriculum Co-Design Workshop. Facilitate collaborative workshops with industry mentors and educators to develop modular curriculum components focused on: Russian data sovereignty compliance, cross-cultural software design for local markets, and supply chain resilience tactics.</w:t>
      </w:r>
    </w:p>
    <w:p>
      <w:pPr>
        <w:numPr>
          <w:ilvl w:val="0"/>
          <w:numId w:val="1002"/>
        </w:numPr>
        <w:pStyle w:val="Compact"/>
      </w:pPr>
      <w:r>
        <w:t xml:space="preserve">Phase 3 (Months 11-16):** Pilot Program &amp; Impact Assessment. Implement a pilot program within an ITMO University software engineering track. Measure outcomes through pre/post skill assessments, graduate employability tracking, and employer feedback on new graduates' performance.</w:t>
      </w:r>
    </w:p>
    <w:p>
      <w:pPr>
        <w:numPr>
          <w:ilvl w:val="0"/>
          <w:numId w:val="1002"/>
        </w:numPr>
        <w:pStyle w:val="Compact"/>
      </w:pPr>
      <w:r>
        <w:t xml:space="preserve">Phase 4 (Months 17-18):** Framework Finalization &amp; Dissemination. Synthesize findings into a scalable model for adapting Software Engineering education in Saint Petersburg, published as an open-access resource for Russian academic institutions.</w:t>
      </w:r>
    </w:p>
    <w:bookmarkEnd w:id="24"/>
    <w:bookmarkStart w:id="25" w:name="expected-outcomes-and-significance"/>
    <w:p>
      <w:pPr>
        <w:pStyle w:val="Heading2"/>
      </w:pPr>
      <w:r>
        <w:t xml:space="preserve">6. Expected Outcomes and Significance</w:t>
      </w:r>
    </w:p>
    <w:p>
      <w:pPr>
        <w:pStyle w:val="FirstParagraph"/>
      </w:pPr>
      <w:r>
        <w:t xml:space="preserve">This research will yield a validated, context-specific framework for the development of the</w:t>
      </w:r>
      <w:r>
        <w:t xml:space="preserve"> </w:t>
      </w:r>
      <w:r>
        <w:rPr>
          <w:iCs/>
          <w:i/>
        </w:rPr>
        <w:t xml:space="preserve">Software Engineer</w:t>
      </w:r>
      <w:r>
        <w:t xml:space="preserve"> </w:t>
      </w:r>
      <w:r>
        <w:t xml:space="preserve">profession in</w:t>
      </w:r>
      <w:r>
        <w:t xml:space="preserve"> </w:t>
      </w:r>
      <w:r>
        <w:rPr>
          <w:bCs/>
          <w:b/>
        </w:rPr>
        <w:t xml:space="preserve">Russia Saint Petersburg</w:t>
      </w:r>
      <w:r>
        <w:t xml:space="preserve">. Key expected outcomes include:</w:t>
      </w:r>
    </w:p>
    <w:p>
      <w:pPr>
        <w:numPr>
          <w:ilvl w:val="0"/>
          <w:numId w:val="1003"/>
        </w:numPr>
        <w:pStyle w:val="Compact"/>
      </w:pPr>
      <w:r>
        <w:t xml:space="preserve">A comprehensive taxonomy of essential skills for Software Engineers operating within Russia's regulatory and market context.</w:t>
      </w:r>
    </w:p>
    <w:p>
      <w:pPr>
        <w:numPr>
          <w:ilvl w:val="0"/>
          <w:numId w:val="1003"/>
        </w:numPr>
        <w:pStyle w:val="Compact"/>
      </w:pPr>
      <w:r>
        <w:t xml:space="preserve">A prototype curriculum model integrating industry case studies (e.g., developing a compliance-ready e-commerce platform for the Russian market).</w:t>
      </w:r>
    </w:p>
    <w:p>
      <w:pPr>
        <w:numPr>
          <w:ilvl w:val="0"/>
          <w:numId w:val="1003"/>
        </w:numPr>
        <w:pStyle w:val="Compact"/>
      </w:pPr>
      <w:r>
        <w:t xml:space="preserve">Evidence-based recommendations for university-industry partnership structures to ensure continuous curriculum relevance.</w:t>
      </w:r>
    </w:p>
    <w:p>
      <w:pPr>
        <w:numPr>
          <w:ilvl w:val="0"/>
          <w:numId w:val="1003"/>
        </w:numPr>
        <w:pStyle w:val="Compact"/>
      </w:pPr>
      <w:r>
        <w:t xml:space="preserve">Enhanced career pathways for Software Engineers in Saint Petersburg, reducing talent attrition and strengthening regional tech sovereignty.</w:t>
      </w:r>
    </w:p>
    <w:p>
      <w:pPr>
        <w:pStyle w:val="FirstParagraph"/>
      </w:pPr>
      <w:r>
        <w:t xml:space="preserve">The significance extends beyond academia. By directly addressing the skills mismatch, this work supports Saint Petersburg's strategic goal of becoming a top-5 European IT hub by 2030 (as outlined in the city's Digital Strategy 2030). It also provides a replicable model for other emerging tech centers facing similar localization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Assessment</w:t>
            </w:r>
          </w:p>
        </w:tc>
        <w:tc>
          <w:tcPr/>
          <w:p>
            <w:pPr>
              <w:pStyle w:val="Compact"/>
              <w:jc w:val="left"/>
            </w:pPr>
            <w:r>
              <w:t xml:space="preserve">Literature review, partner identification, survey design</w:t>
            </w:r>
          </w:p>
        </w:tc>
        <w:tc>
          <w:tcPr/>
          <w:p>
            <w:pPr>
              <w:pStyle w:val="Compact"/>
              <w:jc w:val="left"/>
            </w:pPr>
            <w:r>
              <w:t xml:space="preserve">1-4</w:t>
            </w:r>
          </w:p>
        </w:tc>
      </w:tr>
      <w:tr>
        <w:tc>
          <w:tcPr/>
          <w:p>
            <w:pPr>
              <w:pStyle w:val="Compact"/>
              <w:jc w:val="left"/>
            </w:pPr>
            <w:r>
              <w:t xml:space="preserve">Co-Design &amp; Development</w:t>
            </w:r>
          </w:p>
        </w:tc>
        <w:tc>
          <w:tcPr/>
          <w:p>
            <w:pPr>
              <w:pStyle w:val="Compact"/>
              <w:jc w:val="left"/>
            </w:pPr>
            <w:r>
              <w:t xml:space="preserve">Workshops, curriculum module development, pilot planning</w:t>
            </w:r>
          </w:p>
        </w:tc>
        <w:tc>
          <w:tcPr/>
          <w:p>
            <w:pPr>
              <w:pStyle w:val="Compact"/>
              <w:jc w:val="left"/>
            </w:pPr>
            <w:r>
              <w:t xml:space="preserve">5-10</w:t>
            </w:r>
          </w:p>
        </w:tc>
      </w:tr>
      <w:tr>
        <w:tc>
          <w:tcPr/>
          <w:p>
            <w:pPr>
              <w:pStyle w:val="Compact"/>
              <w:jc w:val="left"/>
            </w:pPr>
            <w:r>
              <w:t xml:space="preserve">Pilot Implementation &amp; Data Collection</w:t>
            </w:r>
          </w:p>
        </w:tc>
        <w:tc>
          <w:tcPr/>
          <w:p>
            <w:pPr>
              <w:pStyle w:val="Compact"/>
              <w:jc w:val="left"/>
            </w:pPr>
            <w:r>
              <w:t xml:space="preserve">Deliver pilot courses, collect performance data, employer feedback</w:t>
            </w:r>
          </w:p>
        </w:tc>
        <w:tc>
          <w:tcPr/>
          <w:p>
            <w:pPr>
              <w:pStyle w:val="Compact"/>
              <w:jc w:val="left"/>
            </w:pPr>
            <w:r>
              <w:t xml:space="preserve">11-16</w:t>
            </w:r>
          </w:p>
        </w:tc>
      </w:tr>
      <w:tr>
        <w:tc>
          <w:tcPr/>
          <w:p>
            <w:pPr>
              <w:pStyle w:val="Compact"/>
              <w:jc w:val="left"/>
            </w:pPr>
            <w:r>
              <w:t xml:space="preserve">Analysis &amp; Dissemination</w:t>
            </w:r>
          </w:p>
        </w:tc>
        <w:tc>
          <w:tcPr/>
          <w:p>
            <w:pPr>
              <w:pStyle w:val="Compact"/>
              <w:jc w:val="left"/>
            </w:pPr>
            <w:r>
              <w:t xml:space="preserve">Framework finalization, thesis writing, open-access publication</w:t>
            </w:r>
          </w:p>
        </w:tc>
        <w:tc>
          <w:tcPr/>
          <w:p>
            <w:pPr>
              <w:pStyle w:val="Compact"/>
              <w:jc w:val="left"/>
            </w:pPr>
            <w:r>
              <w:t xml:space="preserve">17-18</w:t>
            </w:r>
          </w:p>
        </w:tc>
      </w:tr>
    </w:tbl>
    <w:bookmarkEnd w:id="26"/>
    <w:bookmarkStart w:id="27" w:name="conclusion"/>
    <w:p>
      <w:pPr>
        <w:pStyle w:val="Heading2"/>
      </w:pPr>
      <w:r>
        <w:t xml:space="preserve">8. Conclusion</w:t>
      </w:r>
    </w:p>
    <w:p>
      <w:pPr>
        <w:pStyle w:val="FirstParagraph"/>
      </w:pPr>
      <w:r>
        <w:t xml:space="preserve">The future of technological advancement in</w:t>
      </w:r>
      <w:r>
        <w:t xml:space="preserve"> </w:t>
      </w:r>
      <w:r>
        <w:rPr>
          <w:bCs/>
          <w:b/>
        </w:rPr>
        <w:t xml:space="preserve">Russia Saint Petersburg</w:t>
      </w:r>
      <w:r>
        <w:t xml:space="preserve"> </w:t>
      </w:r>
      <w:r>
        <w:t xml:space="preserve">hinges on cultivating a new generation of highly skilled, contextually aware Software Engineers. This Thesis Proposal outlines a necessary and timely research agenda to redefine how the profession is trained and supported within the city's specific ecosystem. By centering the needs of local industry, legal frameworks, and market realities, this work moves beyond generic software engineering education to create a model where the</w:t>
      </w:r>
      <w:r>
        <w:t xml:space="preserve"> </w:t>
      </w:r>
      <w:r>
        <w:rPr>
          <w:iCs/>
          <w:i/>
        </w:rPr>
        <w:t xml:space="preserve">Software Engineer</w:t>
      </w:r>
      <w:r>
        <w:t xml:space="preserve"> </w:t>
      </w:r>
      <w:r>
        <w:t xml:space="preserve">in Saint Petersburg isn't just competent but strategically indispensable. The outcomes will empower graduates to lead innovation within Russia's digital landscape while contributing meaningfully to the city's global reputation as a dynamic center of technical excellence. This</w:t>
      </w:r>
      <w:r>
        <w:t xml:space="preserve"> </w:t>
      </w:r>
      <w:r>
        <w:rPr>
          <w:bCs/>
          <w:b/>
        </w:rPr>
        <w:t xml:space="preserve">Thesis Proposal</w:t>
      </w:r>
      <w:r>
        <w:t xml:space="preserve">, grounded in Saint Petersburg's unique context, offers a blueprint for building sustainable technological sovereignty through education and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Russia's Saint Petersburg</dc:title>
  <dc:creator/>
  <dc:language>en</dc:language>
  <cp:keywords/>
  <dcterms:created xsi:type="dcterms:W3CDTF">2026-07-21T06:31:42Z</dcterms:created>
  <dcterms:modified xsi:type="dcterms:W3CDTF">2026-07-21T06:31:42Z</dcterms:modified>
</cp:coreProperties>
</file>

<file path=docProps/custom.xml><?xml version="1.0" encoding="utf-8"?>
<Properties xmlns="http://schemas.openxmlformats.org/officeDocument/2006/custom-properties" xmlns:vt="http://schemas.openxmlformats.org/officeDocument/2006/docPropsVTypes"/>
</file>