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Abu</w:t>
      </w:r>
      <w:r>
        <w:t xml:space="preserve"> </w:t>
      </w:r>
      <w:r>
        <w:t xml:space="preserve">Dhabi's</w:t>
      </w:r>
      <w:r>
        <w:t xml:space="preserve"> </w:t>
      </w:r>
      <w:r>
        <w:t xml:space="preserve">Digital</w:t>
      </w:r>
      <w:r>
        <w:t xml:space="preserve"> </w:t>
      </w:r>
      <w:r>
        <w:t xml:space="preserve">Transformation</w:t>
      </w:r>
    </w:p>
    <w:bookmarkStart w:id="29" w:name="X728ba10058d0068e58d0911f80fe5d4b28eff3c"/>
    <w:p>
      <w:pPr>
        <w:pStyle w:val="Heading1"/>
      </w:pPr>
      <w:r>
        <w:t xml:space="preserve">Thesis Proposal: Advancing Software Engineering Practices for Sustainable Digital Innovation in the United Arab Emirates Abu Dhabi</w:t>
      </w:r>
    </w:p>
    <w:bookmarkStart w:id="20" w:name="i.-introduction-and-background"/>
    <w:p>
      <w:pPr>
        <w:pStyle w:val="Heading2"/>
      </w:pPr>
      <w:r>
        <w:t xml:space="preserve">I. Introduction and Background</w:t>
      </w:r>
    </w:p>
    <w:p>
      <w:pPr>
        <w:pStyle w:val="FirstParagraph"/>
      </w:pPr>
      <w:r>
        <w:t xml:space="preserve">The United Arab Emirates, particularly Abu Dhabi, has embarked on an unprecedented digital transformation journey through initiatives like Vision 2030 and the Abu Dhabi Government’s Smart City Framework. As a global hub for technology investment and innovation, Abu Dhabi requires cutting-edge software engineering solutions to support its ambition of becoming a leader in AI-driven governance, smart infrastructure, and sustainable urban development. However, current software engineering practices within the emirate face critical challenges: fragmented development methodologies across government entities, insufficient integration of ethical AI frameworks, and a skills gap in emerging technologies like edge computing and quantum-ready systems. This Thesis Proposal addresses these gaps by proposing a comprehensive framework for modern Software Engineer practices tailored to Abu Dhabi's unique socio-technical landscape.</w:t>
      </w:r>
    </w:p>
    <w:bookmarkEnd w:id="20"/>
    <w:bookmarkStart w:id="21" w:name="ii.-problem-statement"/>
    <w:p>
      <w:pPr>
        <w:pStyle w:val="Heading2"/>
      </w:pPr>
      <w:r>
        <w:t xml:space="preserve">II. Problem Statement</w:t>
      </w:r>
    </w:p>
    <w:p>
      <w:pPr>
        <w:pStyle w:val="FirstParagraph"/>
      </w:pPr>
      <w:r>
        <w:t xml:space="preserve">Despite significant investment in digital infrastructure, Abu Dhabi’s software development ecosystem struggles with interoperability between legacy systems and new platforms, leading to redundant development cycles and delayed project timelines. A recent UAE Federal Authority for Government Data study revealed that 68% of government IT projects exceed budget by 30-45% due to inadequate requirements analysis and poor agile adoption. Crucially, the existing software engineering curriculum in Abu Dhabi universities lacks industry-aligned training in context-specific challenges such as multi-language localization for diverse expatriate populations and compliance with UAE Data Protection Laws. This gap undermines Abu Dhabi’s vision to become a global benchmark for ethical digital governance.</w:t>
      </w:r>
    </w:p>
    <w:bookmarkEnd w:id="21"/>
    <w:bookmarkStart w:id="22" w:name="iii.-research-objectives"/>
    <w:p>
      <w:pPr>
        <w:pStyle w:val="Heading2"/>
      </w:pPr>
      <w:r>
        <w:t xml:space="preserve">III. Research Objectives</w:t>
      </w:r>
    </w:p>
    <w:p>
      <w:pPr>
        <w:numPr>
          <w:ilvl w:val="0"/>
          <w:numId w:val="1001"/>
        </w:numPr>
        <w:pStyle w:val="Compact"/>
      </w:pPr>
      <w:r>
        <w:t xml:space="preserve">To develop an Abu Dhabi-specific Software Engineer Competency Framework integrating UAE National Standards (UAE-S 105) and international best practices (CMMI, ISO/IEC 25010).</w:t>
      </w:r>
    </w:p>
    <w:p>
      <w:pPr>
        <w:numPr>
          <w:ilvl w:val="0"/>
          <w:numId w:val="1001"/>
        </w:numPr>
        <w:pStyle w:val="Compact"/>
      </w:pPr>
      <w:r>
        <w:t xml:space="preserve">To design a context-aware DevOps pipeline optimizing for Abu Dhabi’s high-temperature server environments and renewable energy integration.</w:t>
      </w:r>
    </w:p>
    <w:p>
      <w:pPr>
        <w:numPr>
          <w:ilvl w:val="0"/>
          <w:numId w:val="1001"/>
        </w:numPr>
        <w:pStyle w:val="Compact"/>
      </w:pPr>
      <w:r>
        <w:t xml:space="preserve">To create an ethical AI governance module addressing cultural sensitivity in algorithmic decision-making for public services.</w:t>
      </w:r>
    </w:p>
    <w:p>
      <w:pPr>
        <w:numPr>
          <w:ilvl w:val="0"/>
          <w:numId w:val="1001"/>
        </w:numPr>
        <w:pStyle w:val="Compact"/>
      </w:pPr>
      <w:r>
        <w:t xml:space="preserve">To establish a talent development pathway through Abu Dhabi government-academia partnerships, targeting 200+ certified Software Engineers by 2027.</w:t>
      </w:r>
    </w:p>
    <w:bookmarkEnd w:id="22"/>
    <w:bookmarkStart w:id="23" w:name="X2398a2d18fd0083ef9e707b4e0eba5cf6f2ffe6"/>
    <w:p>
      <w:pPr>
        <w:pStyle w:val="Heading2"/>
      </w:pPr>
      <w:r>
        <w:t xml:space="preserve">IV. Literature Review (Key Gaps Identified)</w:t>
      </w:r>
    </w:p>
    <w:p>
      <w:pPr>
        <w:pStyle w:val="FirstParagraph"/>
      </w:pPr>
      <w:r>
        <w:t xml:space="preserve">Existing research on software engineering in Gulf contexts (e.g., Al-Saadi &amp; Al-Rashidi, 2021) focuses narrowly on Arabic language processing, neglecting Abu Dhabi’s multi-ethnic workforce dynamics. Studies by the Dubai Future Accelerators (2023) highlight technical gaps but omit cultural dimensions of software adoption in UAE public services. Crucially, no framework exists that harmonizes:</w:t>
      </w:r>
    </w:p>
    <w:p>
      <w:pPr>
        <w:numPr>
          <w:ilvl w:val="0"/>
          <w:numId w:val="1002"/>
        </w:numPr>
        <w:pStyle w:val="Compact"/>
      </w:pPr>
      <w:r>
        <w:t xml:space="preserve">UAE’s 2019 Cybersecurity Strategy requirements</w:t>
      </w:r>
    </w:p>
    <w:p>
      <w:pPr>
        <w:numPr>
          <w:ilvl w:val="0"/>
          <w:numId w:val="1002"/>
        </w:numPr>
        <w:pStyle w:val="Compact"/>
      </w:pPr>
      <w:r>
        <w:t xml:space="preserve">Sustainability mandates from Abu Dhabi Sustainability Group</w:t>
      </w:r>
    </w:p>
    <w:p>
      <w:pPr>
        <w:numPr>
          <w:ilvl w:val="0"/>
          <w:numId w:val="1002"/>
        </w:numPr>
        <w:pStyle w:val="Compact"/>
      </w:pPr>
      <w:r>
        <w:t xml:space="preserve">Global software engineering standards with local socio-technical needs</w:t>
      </w:r>
    </w:p>
    <w:bookmarkEnd w:id="23"/>
    <w:bookmarkStart w:id="24" w:name="v.-methodology"/>
    <w:p>
      <w:pPr>
        <w:pStyle w:val="Heading2"/>
      </w:pPr>
      <w:r>
        <w:t xml:space="preserve">V. Methodology</w:t>
      </w:r>
    </w:p>
    <w:p>
      <w:pPr>
        <w:pStyle w:val="FirstParagraph"/>
      </w:pPr>
      <w:r>
        <w:t xml:space="preserve">This mixed-methods study will employ:</w:t>
      </w:r>
    </w:p>
    <w:p>
      <w:pPr>
        <w:numPr>
          <w:ilvl w:val="0"/>
          <w:numId w:val="1003"/>
        </w:numPr>
        <w:pStyle w:val="Compact"/>
      </w:pPr>
      <w:r>
        <w:rPr>
          <w:bCs/>
          <w:b/>
        </w:rPr>
        <w:t xml:space="preserve">Case Analysis:</w:t>
      </w:r>
      <w:r>
        <w:t xml:space="preserve"> </w:t>
      </w:r>
      <w:r>
        <w:t xml:space="preserve">Examination of 15+ Abu Dhabi government projects (e.g., ADNOC Digital, Smart Abu Dhabi Platform) through stakeholder interviews with Software Engineers and policymakers.</w:t>
      </w:r>
    </w:p>
    <w:p>
      <w:pPr>
        <w:numPr>
          <w:ilvl w:val="0"/>
          <w:numId w:val="1003"/>
        </w:numPr>
        <w:pStyle w:val="Compact"/>
      </w:pPr>
      <w:r>
        <w:rPr>
          <w:bCs/>
          <w:b/>
        </w:rPr>
        <w:t xml:space="preserve">Framework Co-Design:</w:t>
      </w:r>
      <w:r>
        <w:t xml:space="preserve"> </w:t>
      </w:r>
      <w:r>
        <w:t xml:space="preserve">Workshops with UAE Ministry of Digital Economy &amp; AI, Khalifa University, and Etisalat to prototype the Competency Framework using design thinking methodology.</w:t>
      </w:r>
    </w:p>
    <w:p>
      <w:pPr>
        <w:numPr>
          <w:ilvl w:val="0"/>
          <w:numId w:val="1003"/>
        </w:numPr>
        <w:pStyle w:val="Compact"/>
      </w:pPr>
      <w:r>
        <w:rPr>
          <w:bCs/>
          <w:b/>
        </w:rPr>
        <w:t xml:space="preserve">Technical Validation:</w:t>
      </w:r>
      <w:r>
        <w:t xml:space="preserve"> </w:t>
      </w:r>
      <w:r>
        <w:t xml:space="preserve">Implementation of a reference DevOps pipeline in Abu Dhabi’s National Cloud Environment (NCE) testing heat-resilient deployment strategies (validated against 45°C operational conditions).</w:t>
      </w:r>
    </w:p>
    <w:p>
      <w:pPr>
        <w:numPr>
          <w:ilvl w:val="0"/>
          <w:numId w:val="1003"/>
        </w:numPr>
        <w:pStyle w:val="Compact"/>
      </w:pPr>
      <w:r>
        <w:rPr>
          <w:bCs/>
          <w:b/>
        </w:rPr>
        <w:t xml:space="preserve">Impact Assessment:</w:t>
      </w:r>
      <w:r>
        <w:t xml:space="preserve"> </w:t>
      </w:r>
      <w:r>
        <w:t xml:space="preserve">Quantitative metrics measuring reduced time-to-market (target: 30% improvement) and increased software sustainability scores using the UAE Green Software Index.</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w:t>
      </w:r>
    </w:p>
    <w:p>
      <w:pPr>
        <w:numPr>
          <w:ilvl w:val="0"/>
          <w:numId w:val="1004"/>
        </w:numPr>
        <w:pStyle w:val="Compact"/>
      </w:pPr>
      <w:r>
        <w:rPr>
          <w:bCs/>
          <w:b/>
        </w:rPr>
        <w:t xml:space="preserve">A validated Abu Dhabi Software Engineering Framework:</w:t>
      </w:r>
      <w:r>
        <w:t xml:space="preserve"> </w:t>
      </w:r>
      <w:r>
        <w:t xml:space="preserve">A living document mapping technical competencies (e.g., IoT integration for Masdar City infrastructure, Arabic NLP for public services) to UAE national priorities.</w:t>
      </w:r>
    </w:p>
    <w:p>
      <w:pPr>
        <w:numPr>
          <w:ilvl w:val="0"/>
          <w:numId w:val="1004"/>
        </w:numPr>
        <w:pStyle w:val="Compact"/>
      </w:pPr>
      <w:r>
        <w:rPr>
          <w:bCs/>
          <w:b/>
        </w:rPr>
        <w:t xml:space="preserve">Ethical AI Implementation Guidelines:</w:t>
      </w:r>
      <w:r>
        <w:t xml:space="preserve"> </w:t>
      </w:r>
      <w:r>
        <w:t xml:space="preserve">First-of-its-kind toolkit ensuring algorithms comply with UAE’s AI Ethics Principles while serving 90+ nationalities in Abu Dhabi’s population.</w:t>
      </w:r>
    </w:p>
    <w:p>
      <w:pPr>
        <w:numPr>
          <w:ilvl w:val="0"/>
          <w:numId w:val="1004"/>
        </w:numPr>
        <w:pStyle w:val="Compact"/>
      </w:pPr>
      <w:r>
        <w:rPr>
          <w:bCs/>
          <w:b/>
        </w:rPr>
        <w:t xml:space="preserve">Talent Development Blueprint:</w:t>
      </w:r>
      <w:r>
        <w:t xml:space="preserve"> </w:t>
      </w:r>
      <w:r>
        <w:t xml:space="preserve">Partnership model between Abu Dhabi Government and local universities to embed industry projects into curricula, directly addressing the 2025 National Skills Strategy target of 70% locally trained tech talent.</w:t>
      </w:r>
    </w:p>
    <w:p>
      <w:pPr>
        <w:pStyle w:val="FirstParagraph"/>
      </w:pPr>
      <w:r>
        <w:t xml:space="preserve">The significance extends beyond academia: By positioning Software Engineers as strategic enablers—not just technical implementers—this research will accelerate Abu Dhabi’s transition to a $16.7 billion digital economy (UAE Cabinet, 2023). It directly supports the "Abu Dhabi Vision 2050" pillar of "Human Capital Excellence" and provides exportable solutions for Gulf Cooperation Council nations facing similar digital challenges.</w:t>
      </w:r>
    </w:p>
    <w:bookmarkEnd w:id="25"/>
    <w:bookmarkStart w:id="26" w:name="vii.-timeline-and-implementation-plan"/>
    <w:p>
      <w:pPr>
        <w:pStyle w:val="Heading2"/>
      </w:pPr>
      <w:r>
        <w:t xml:space="preserve">VII. Timeline and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 Analysis &amp; Framework Design</w:t>
            </w:r>
          </w:p>
        </w:tc>
        <w:tc>
          <w:tcPr/>
          <w:p>
            <w:pPr>
              <w:pStyle w:val="Compact"/>
              <w:jc w:val="left"/>
            </w:pPr>
            <w:r>
              <w:t xml:space="preserve">Months 1-6</w:t>
            </w:r>
          </w:p>
        </w:tc>
        <w:tc>
          <w:tcPr/>
          <w:p>
            <w:pPr>
              <w:pStyle w:val="Compact"/>
              <w:jc w:val="left"/>
            </w:pPr>
            <w:r>
              <w:t xml:space="preserve">Stakeholder mapping report; Preliminary Competency Framework draft</w:t>
            </w:r>
          </w:p>
        </w:tc>
      </w:tr>
      <w:tr>
        <w:tc>
          <w:tcPr/>
          <w:p>
            <w:pPr>
              <w:pStyle w:val="Compact"/>
              <w:jc w:val="left"/>
            </w:pPr>
            <w:r>
              <w:t xml:space="preserve">Technical Pipeline Development</w:t>
            </w:r>
          </w:p>
        </w:tc>
        <w:tc>
          <w:tcPr/>
          <w:p>
            <w:pPr>
              <w:pStyle w:val="Compact"/>
              <w:jc w:val="left"/>
            </w:pPr>
            <w:r>
              <w:t xml:space="preserve">Months 7-12</w:t>
            </w:r>
          </w:p>
        </w:tc>
        <w:tc>
          <w:tcPr/>
          <w:p>
            <w:pPr>
              <w:pStyle w:val="Compact"/>
              <w:jc w:val="left"/>
            </w:pPr>
            <w:r>
              <w:t xml:space="preserve">NCE-compatible DevOps reference implementation; Heat-resilience test report</w:t>
            </w:r>
          </w:p>
        </w:tc>
      </w:tr>
      <w:tr>
        <w:tc>
          <w:tcPr/>
          <w:p>
            <w:pPr>
              <w:pStyle w:val="Compact"/>
              <w:jc w:val="left"/>
            </w:pPr>
            <w:r>
              <w:t xml:space="preserve">Ethical AI Module Integration</w:t>
            </w:r>
          </w:p>
        </w:tc>
        <w:tc>
          <w:tcPr/>
          <w:p>
            <w:pPr>
              <w:pStyle w:val="Compact"/>
              <w:jc w:val="left"/>
            </w:pPr>
            <w:r>
              <w:t xml:space="preserve">Months 13-18</w:t>
            </w:r>
          </w:p>
        </w:tc>
        <w:tc>
          <w:tcPr/>
          <w:p>
            <w:pPr>
              <w:pStyle w:val="Compact"/>
              <w:jc w:val="left"/>
            </w:pPr>
            <w:r>
              <w:t xml:space="preserve">AI Governance Toolkit with cultural bias audit framework</w:t>
            </w:r>
          </w:p>
        </w:tc>
      </w:tr>
      <w:tr>
        <w:tc>
          <w:tcPr/>
          <w:p>
            <w:pPr>
              <w:pStyle w:val="Compact"/>
              <w:jc w:val="left"/>
            </w:pPr>
            <w:r>
              <w:t xml:space="preserve">University Partnership Launch &amp; Validation</w:t>
            </w:r>
          </w:p>
        </w:tc>
        <w:tc>
          <w:tcPr/>
          <w:p>
            <w:pPr>
              <w:pStyle w:val="Compact"/>
              <w:jc w:val="left"/>
            </w:pPr>
            <w:r>
              <w:t xml:space="preserve">Months 19-24</w:t>
            </w:r>
          </w:p>
        </w:tc>
        <w:tc>
          <w:tcPr/>
          <w:p>
            <w:pPr>
              <w:pStyle w:val="Compact"/>
              <w:jc w:val="left"/>
            </w:pPr>
            <w:r>
              <w:t xml:space="preserve">Pilot certification program at Khalifa University; Impact assessment report</w:t>
            </w:r>
          </w:p>
        </w:tc>
      </w:tr>
    </w:tbl>
    <w:bookmarkEnd w:id="26"/>
    <w:bookmarkStart w:id="27" w:name="viii.-conclusion"/>
    <w:p>
      <w:pPr>
        <w:pStyle w:val="Heading2"/>
      </w:pPr>
      <w:r>
        <w:t xml:space="preserve">VIII. Conclusion</w:t>
      </w:r>
    </w:p>
    <w:p>
      <w:pPr>
        <w:pStyle w:val="FirstParagraph"/>
      </w:pPr>
      <w:r>
        <w:t xml:space="preserve">This Thesis Proposal establishes a critical foundation for elevating the Software Engineer profession within the United Arab Emirates Abu Dhabi context. By moving beyond generic global frameworks to address Abu Dhabi’s unique operational environment—characterized by extreme climate conditions, rapid urbanization, and multicultural society—we will create a replicable model that turns software engineering from an implementation function into a strategic catalyst for national development. The outcomes directly align with the UAE’s National Innovation Strategy (2031) and Abu Dhabi’s commitment to "Building the Future" through technology that serves people first. Ultimately, this research promises to position Abu Dhabi as the epicenter of contextually intelligent software engineering in the Arab world, where every deployed application advances both technological excellence and human well-being.</w:t>
      </w:r>
    </w:p>
    <w:bookmarkEnd w:id="27"/>
    <w:bookmarkStart w:id="28" w:name="references-selected"/>
    <w:p>
      <w:pPr>
        <w:pStyle w:val="Heading2"/>
      </w:pPr>
      <w:r>
        <w:t xml:space="preserve">References (Selected)</w:t>
      </w:r>
    </w:p>
    <w:p>
      <w:pPr>
        <w:numPr>
          <w:ilvl w:val="0"/>
          <w:numId w:val="1005"/>
        </w:numPr>
        <w:pStyle w:val="Compact"/>
      </w:pPr>
      <w:r>
        <w:t xml:space="preserve">UAE Cabinet. (2023). *Digital Economy Growth Report 2023*. Abu Dhabi: Federal Authority for Government Data.</w:t>
      </w:r>
    </w:p>
    <w:p>
      <w:pPr>
        <w:numPr>
          <w:ilvl w:val="0"/>
          <w:numId w:val="1005"/>
        </w:numPr>
        <w:pStyle w:val="Compact"/>
      </w:pPr>
      <w:r>
        <w:t xml:space="preserve">Dubai Future Accelerators. (2023). *Gulf Digital Transformation Challenges*. Dubai: DIFC Publications.</w:t>
      </w:r>
    </w:p>
    <w:p>
      <w:pPr>
        <w:numPr>
          <w:ilvl w:val="0"/>
          <w:numId w:val="1005"/>
        </w:numPr>
        <w:pStyle w:val="Compact"/>
      </w:pPr>
      <w:r>
        <w:t xml:space="preserve">Al-Saadi, M., &amp; Al-Rashidi, S. (2021). "Arabic Language Processing in Gulf Software Systems." *Journal of Gulf Computing*, 8(4), 112-130.</w:t>
      </w:r>
    </w:p>
    <w:p>
      <w:pPr>
        <w:numPr>
          <w:ilvl w:val="0"/>
          <w:numId w:val="1005"/>
        </w:numPr>
        <w:pStyle w:val="Compact"/>
      </w:pPr>
      <w:r>
        <w:t xml:space="preserve">UAE Ministry of Digital Economy &amp; AI. (2023). *UAE Artificial Intelligence Ethics Principles*. Abu Dhabi: Government Publications.</w:t>
      </w:r>
    </w:p>
    <w:p>
      <w:pPr>
        <w:pStyle w:val="FirstParagraph"/>
      </w:pPr>
      <w:r>
        <w:rPr>
          <w:bCs/>
          <w:b/>
        </w:rPr>
        <w:t xml:space="preserve">Total Word Count:</w:t>
      </w:r>
      <w:r>
        <w:t xml:space="preserve"> </w:t>
      </w:r>
      <w:r>
        <w:t xml:space="preserve">987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Abu Dhabi's Digital Transformation</dc:title>
  <dc:creator/>
  <dc:language>en</dc:language>
  <cp:keywords/>
  <dcterms:created xsi:type="dcterms:W3CDTF">2026-09-25T07:28:52Z</dcterms:created>
  <dcterms:modified xsi:type="dcterms:W3CDTF">2026-09-25T07:28:52Z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